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557C4E" w:rsidRDefault="00557C4E" w:rsidP="000C3A75"/>
    <w:p w:rsidR="00557C4E" w:rsidRDefault="00557C4E" w:rsidP="000C3A75"/>
    <w:p w:rsidR="00557C4E" w:rsidRDefault="00557C4E" w:rsidP="000C3A75"/>
    <w:p w:rsidR="00557C4E" w:rsidRDefault="00557C4E" w:rsidP="000C3A75"/>
    <w:p w:rsidR="00557C4E" w:rsidRPr="00AF105E" w:rsidRDefault="00557C4E" w:rsidP="00557C4E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ORDINARIA-MARTES 10 DE JUNIO DE 2014.</w:t>
      </w:r>
    </w:p>
    <w:p w:rsidR="00557C4E" w:rsidRPr="00AF105E" w:rsidRDefault="00557C4E" w:rsidP="00557C4E">
      <w:pPr>
        <w:jc w:val="both"/>
        <w:rPr>
          <w:rFonts w:asciiTheme="majorHAnsi" w:hAnsiTheme="majorHAnsi"/>
          <w:lang w:val="es-ES_tradnl"/>
        </w:rPr>
      </w:pPr>
    </w:p>
    <w:p w:rsidR="00557C4E" w:rsidRDefault="00557C4E" w:rsidP="00557C4E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557C4E">
        <w:rPr>
          <w:rFonts w:asciiTheme="majorHAnsi" w:hAnsiTheme="majorHAnsi"/>
          <w:b/>
          <w:sz w:val="24"/>
          <w:szCs w:val="24"/>
        </w:rPr>
        <w:t>CONVOCATORIA</w:t>
      </w:r>
    </w:p>
    <w:p w:rsidR="00557C4E" w:rsidRPr="00557C4E" w:rsidRDefault="00557C4E" w:rsidP="00557C4E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557C4E" w:rsidRDefault="00557C4E" w:rsidP="00557C4E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10 de junio de 2014, a las 10:30 en el Salón de la ciudad, para tratar el siguiente orden del día:</w:t>
      </w:r>
    </w:p>
    <w:p w:rsidR="00557C4E" w:rsidRPr="00AF105E" w:rsidRDefault="00557C4E" w:rsidP="00557C4E">
      <w:pPr>
        <w:contextualSpacing/>
        <w:jc w:val="both"/>
        <w:rPr>
          <w:rFonts w:asciiTheme="majorHAnsi" w:hAnsiTheme="majorHAnsi"/>
        </w:rPr>
      </w:pPr>
    </w:p>
    <w:p w:rsidR="00557C4E" w:rsidRDefault="00557C4E" w:rsidP="00557C4E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  <w:lang w:val="es-ES_tradnl"/>
        </w:rPr>
        <w:t xml:space="preserve">1.- </w:t>
      </w:r>
      <w:r w:rsidRPr="00AF105E">
        <w:rPr>
          <w:rFonts w:asciiTheme="majorHAnsi" w:hAnsiTheme="majorHAnsi"/>
        </w:rPr>
        <w:t>CONOCIMIENTO Y APROBACIÓN DEL ACTA DE LA SESIÓN ORDINARIA DEL MARTES 03 DE JUNIO DE 2014; Y DE LA SESIÓN EXTRAORDINARIA DEL VIERNES 06 DE JUNIO DE 2014.</w:t>
      </w:r>
    </w:p>
    <w:p w:rsidR="00557C4E" w:rsidRPr="00AF105E" w:rsidRDefault="00557C4E" w:rsidP="00557C4E">
      <w:pPr>
        <w:jc w:val="both"/>
        <w:rPr>
          <w:rFonts w:asciiTheme="majorHAnsi" w:hAnsiTheme="majorHAnsi"/>
        </w:rPr>
      </w:pPr>
    </w:p>
    <w:p w:rsidR="00557C4E" w:rsidRDefault="00557C4E" w:rsidP="00557C4E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ANÁLISIS Y APROBACIÓN EN SEGUNDO Y DEFINITIVO DEBATE DEL PROYECTO DE REFORMA A LA ORDENANZA DE CREACIÓN DE LA E-P. EMAPA-G.</w:t>
      </w:r>
    </w:p>
    <w:p w:rsidR="00557C4E" w:rsidRPr="00AF105E" w:rsidRDefault="00557C4E" w:rsidP="00557C4E">
      <w:pPr>
        <w:pStyle w:val="Prrafodelista"/>
        <w:ind w:left="0"/>
        <w:jc w:val="both"/>
        <w:rPr>
          <w:rFonts w:asciiTheme="majorHAnsi" w:hAnsiTheme="majorHAnsi"/>
        </w:rPr>
      </w:pPr>
      <w:bookmarkStart w:id="0" w:name="_GoBack"/>
      <w:bookmarkEnd w:id="0"/>
    </w:p>
    <w:p w:rsidR="00557C4E" w:rsidRPr="00AF105E" w:rsidRDefault="00557C4E" w:rsidP="00557C4E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3.- ANÁLISIS DE LA ORDENANZA QUE REGULA LA DELEGACIÓN DEL MANEJO DE RESIDUOS SÓLIDOS DEL GOBIERNO AUTÓNOMO DESCENTRALIZADO DE GUARANDA A LOS GOBIERNOS AUTÓNOMOS DESCENTRALIZADOS PARROQUIALES DEL CANTÓN; Y LA ORDENANZA QUE REGULA LA FORMACIÓN DE LOS CATASTROS PREDIALES URBANOS Y RURALES, LA DETERMINACIÓN, ADMINISTRACIÓN Y RECAUDACIÓN DEL IMPUESTO A LOS PREDIOS URBANOS Y RURALES PARA EL BIENIO 2014-2015, A EFECTO LA VIABILIDAD DE LA REFORMA CONSIGUIENTE.</w:t>
      </w:r>
    </w:p>
    <w:p w:rsidR="00557C4E" w:rsidRDefault="00557C4E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57C4E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557C4E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57C4E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557C4E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57C4E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2014-08-13T16:57:00Z</dcterms:created>
  <dcterms:modified xsi:type="dcterms:W3CDTF">2014-08-13T16:57:00Z</dcterms:modified>
</cp:coreProperties>
</file>