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18B2" w14:textId="66693969" w:rsidR="00B41EFC" w:rsidRPr="00EC663B" w:rsidRDefault="00683788" w:rsidP="00B41EFC">
      <w:pPr>
        <w:pStyle w:val="Ttulo1"/>
        <w:spacing w:before="0" w:line="360" w:lineRule="auto"/>
        <w:ind w:right="705"/>
        <w:jc w:val="center"/>
        <w:rPr>
          <w:rFonts w:ascii="Bookman Old Style" w:hAnsi="Bookman Old Style"/>
          <w:b/>
          <w:color w:val="auto"/>
          <w:sz w:val="24"/>
          <w:szCs w:val="24"/>
          <w:lang w:val="es-MX"/>
        </w:rPr>
      </w:pPr>
      <w:r w:rsidRPr="00EC663B">
        <w:rPr>
          <w:rFonts w:ascii="Bookman Old Style" w:hAnsi="Bookman Old Style"/>
          <w:b/>
          <w:color w:val="auto"/>
          <w:sz w:val="24"/>
          <w:szCs w:val="24"/>
          <w:lang w:val="es-MX"/>
        </w:rPr>
        <w:t>EXPOSICIÓN DE MOTIVOS</w:t>
      </w:r>
    </w:p>
    <w:p w14:paraId="414B659F"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La Corporación Nacional de Electricidad (CNEL EP), mediante Oficio Nro. CNEL-BOL-ADM-2025-0355-O, de fecha 29 de septiembre de 2025, suscrito por la Ing. María Gabriela Salas Farías, Administradora de la Unidad de Negocio Bolívar, Encargada, comunicó formalmente la terminación unilateral del Convenio de Cooperación Interinstitucional suscrito entre CNEL EP y el GAD Municipal del Cantón Guaranda, relativo a la recaudación de la Tasa de Recolección de Basura (TRB). Esta decisión se fundamenta en el incumplimiento de disposiciones de la Ley Orgánica de Servicio Público de Energía Eléctrica (LOSPEE), la Ley Orgánica de Protección de Datos Personales (LOPDP) y directrices ministeriales que prohíben la indexación de tasas municipales a la facturación eléctrica y la transferencia de datos personales sin el debido consentimiento. </w:t>
      </w:r>
    </w:p>
    <w:p w14:paraId="0486534A" w14:textId="77777777" w:rsidR="00B372D0" w:rsidRPr="00EC663B" w:rsidRDefault="00B372D0" w:rsidP="00B41EFC">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 </w:t>
      </w:r>
    </w:p>
    <w:p w14:paraId="48C1EC84" w14:textId="77777777" w:rsidR="00B41EFC" w:rsidRPr="00EC663B" w:rsidRDefault="00B372D0" w:rsidP="00B41EFC">
      <w:pPr>
        <w:spacing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En el marco de la gestión del servicio de </w:t>
      </w:r>
      <w:r w:rsidR="00B41EFC" w:rsidRPr="00EC663B">
        <w:rPr>
          <w:rFonts w:ascii="Bookman Old Style" w:hAnsi="Bookman Old Style"/>
          <w:sz w:val="24"/>
          <w:szCs w:val="24"/>
          <w:lang w:val="es-MX"/>
        </w:rPr>
        <w:t xml:space="preserve">recolección de residuos sólidos </w:t>
      </w:r>
      <w:r w:rsidRPr="00EC663B">
        <w:rPr>
          <w:rFonts w:ascii="Bookman Old Style" w:hAnsi="Bookman Old Style"/>
          <w:sz w:val="24"/>
          <w:szCs w:val="24"/>
          <w:lang w:val="es-MX"/>
        </w:rPr>
        <w:t xml:space="preserve">en el cantón Guaranda, se registran diversos pronunciamientos institucionales emitidos por CNEL EP durante el año 2025. Mediante Oficio Nro. CNEL-BOL-ADM-2025-0355-O, con fecha 29 de septiembre de 2025, la entidad notificó la terminación unilateral del Convenio de Cooperación Interinstitucional entre CNEL EP y el GAD Municipal de Guaranda. Posteriormente, a través del Oficio Nro. CNEL-BOL-ADM-20250366-O, de fecha 07 de octubre de 2025, se comunicó la insubsistencia de dicho oficio, dejando sin efecto la terminación previamente notificada. </w:t>
      </w:r>
    </w:p>
    <w:p w14:paraId="0E940DF7" w14:textId="45AD62CC" w:rsidR="00B372D0" w:rsidRPr="00EC663B" w:rsidRDefault="00B372D0" w:rsidP="00B41EFC">
      <w:pPr>
        <w:spacing w:line="360" w:lineRule="auto"/>
        <w:jc w:val="both"/>
        <w:rPr>
          <w:rFonts w:ascii="Bookman Old Style" w:hAnsi="Bookman Old Style"/>
          <w:sz w:val="24"/>
          <w:szCs w:val="24"/>
          <w:lang w:val="es-MX"/>
        </w:rPr>
      </w:pPr>
      <w:r w:rsidRPr="00EC663B">
        <w:rPr>
          <w:rFonts w:ascii="Bookman Old Style" w:hAnsi="Bookman Old Style"/>
          <w:sz w:val="24"/>
          <w:szCs w:val="24"/>
          <w:lang w:val="es-MX"/>
        </w:rPr>
        <w:t>De manera complementaria, mediante Oficio Nro. CNEL-BOLADM-2025-0357-O, emitido el 30 de septiembre de 2025, se informaron las directrices para la suscripción de conven</w:t>
      </w:r>
      <w:r w:rsidR="00B41EFC" w:rsidRPr="00EC663B">
        <w:rPr>
          <w:rFonts w:ascii="Bookman Old Style" w:hAnsi="Bookman Old Style"/>
          <w:sz w:val="24"/>
          <w:szCs w:val="24"/>
          <w:lang w:val="es-MX"/>
        </w:rPr>
        <w:t xml:space="preserve">ios para el cobro de la tasa de </w:t>
      </w:r>
      <w:r w:rsidRPr="00EC663B">
        <w:rPr>
          <w:rFonts w:ascii="Bookman Old Style" w:hAnsi="Bookman Old Style"/>
          <w:sz w:val="24"/>
          <w:szCs w:val="24"/>
          <w:lang w:val="es-MX"/>
        </w:rPr>
        <w:t xml:space="preserve">recolección de basura correspondiente al periodo 2026–2028. </w:t>
      </w:r>
    </w:p>
    <w:p w14:paraId="60E876CC" w14:textId="77777777" w:rsidR="00B372D0" w:rsidRPr="00EC663B" w:rsidRDefault="00B372D0" w:rsidP="00B41EFC">
      <w:pPr>
        <w:spacing w:line="360" w:lineRule="auto"/>
        <w:jc w:val="both"/>
        <w:rPr>
          <w:rFonts w:ascii="Bookman Old Style" w:hAnsi="Bookman Old Style"/>
          <w:sz w:val="24"/>
          <w:szCs w:val="24"/>
          <w:lang w:val="es-MX"/>
        </w:rPr>
      </w:pPr>
    </w:p>
    <w:p w14:paraId="502E32B2" w14:textId="77777777" w:rsidR="00B41EFC" w:rsidRPr="00EC663B" w:rsidRDefault="00B372D0" w:rsidP="00B41EFC">
      <w:pPr>
        <w:spacing w:line="360" w:lineRule="auto"/>
        <w:jc w:val="both"/>
        <w:rPr>
          <w:rFonts w:ascii="Bookman Old Style" w:hAnsi="Bookman Old Style"/>
          <w:sz w:val="24"/>
          <w:szCs w:val="24"/>
          <w:lang w:val="es-MX"/>
        </w:rPr>
      </w:pPr>
      <w:r w:rsidRPr="00EC663B">
        <w:rPr>
          <w:rFonts w:ascii="Bookman Old Style" w:hAnsi="Bookman Old Style"/>
          <w:sz w:val="24"/>
          <w:szCs w:val="24"/>
          <w:lang w:val="es-MX"/>
        </w:rPr>
        <w:lastRenderedPageBreak/>
        <w:t>Finalmente, mediante Oficio Nro. CN</w:t>
      </w:r>
      <w:r w:rsidR="00B41EFC" w:rsidRPr="00EC663B">
        <w:rPr>
          <w:rFonts w:ascii="Bookman Old Style" w:hAnsi="Bookman Old Style"/>
          <w:sz w:val="24"/>
          <w:szCs w:val="24"/>
          <w:lang w:val="es-MX"/>
        </w:rPr>
        <w:t xml:space="preserve">EL-BOL-RCA-2025-0014-O, fechado </w:t>
      </w:r>
      <w:r w:rsidRPr="00EC663B">
        <w:rPr>
          <w:rFonts w:ascii="Bookman Old Style" w:hAnsi="Bookman Old Style"/>
          <w:sz w:val="24"/>
          <w:szCs w:val="24"/>
          <w:lang w:val="es-MX"/>
        </w:rPr>
        <w:t>el 23 de octubre de 2025, CNEL EP co</w:t>
      </w:r>
      <w:r w:rsidR="00B41EFC" w:rsidRPr="00EC663B">
        <w:rPr>
          <w:rFonts w:ascii="Bookman Old Style" w:hAnsi="Bookman Old Style"/>
          <w:sz w:val="24"/>
          <w:szCs w:val="24"/>
          <w:lang w:val="es-MX"/>
        </w:rPr>
        <w:t xml:space="preserve">municó que la recaudación de la </w:t>
      </w:r>
      <w:r w:rsidRPr="00EC663B">
        <w:rPr>
          <w:rFonts w:ascii="Bookman Old Style" w:hAnsi="Bookman Old Style"/>
          <w:sz w:val="24"/>
          <w:szCs w:val="24"/>
          <w:lang w:val="es-MX"/>
        </w:rPr>
        <w:t>Tasa de Recolección de Basura (TRB) s</w:t>
      </w:r>
      <w:r w:rsidR="00B41EFC" w:rsidRPr="00EC663B">
        <w:rPr>
          <w:rFonts w:ascii="Bookman Old Style" w:hAnsi="Bookman Old Style"/>
          <w:sz w:val="24"/>
          <w:szCs w:val="24"/>
          <w:lang w:val="es-MX"/>
        </w:rPr>
        <w:t xml:space="preserve">e mantendrá únicamente hasta el </w:t>
      </w:r>
      <w:r w:rsidRPr="00EC663B">
        <w:rPr>
          <w:rFonts w:ascii="Bookman Old Style" w:hAnsi="Bookman Old Style"/>
          <w:sz w:val="24"/>
          <w:szCs w:val="24"/>
          <w:lang w:val="es-MX"/>
        </w:rPr>
        <w:t>31 de diciembre de 2025. Estos docu</w:t>
      </w:r>
      <w:r w:rsidR="00B41EFC" w:rsidRPr="00EC663B">
        <w:rPr>
          <w:rFonts w:ascii="Bookman Old Style" w:hAnsi="Bookman Old Style"/>
          <w:sz w:val="24"/>
          <w:szCs w:val="24"/>
          <w:lang w:val="es-MX"/>
        </w:rPr>
        <w:t xml:space="preserve">mentos constituyen antecedentes </w:t>
      </w:r>
      <w:r w:rsidRPr="00EC663B">
        <w:rPr>
          <w:rFonts w:ascii="Bookman Old Style" w:hAnsi="Bookman Old Style"/>
          <w:sz w:val="24"/>
          <w:szCs w:val="24"/>
          <w:lang w:val="es-MX"/>
        </w:rPr>
        <w:t>fundamentales para la revisión, anál</w:t>
      </w:r>
      <w:r w:rsidR="00B41EFC" w:rsidRPr="00EC663B">
        <w:rPr>
          <w:rFonts w:ascii="Bookman Old Style" w:hAnsi="Bookman Old Style"/>
          <w:sz w:val="24"/>
          <w:szCs w:val="24"/>
          <w:lang w:val="es-MX"/>
        </w:rPr>
        <w:t xml:space="preserve">isis y definición del modelo de </w:t>
      </w:r>
      <w:r w:rsidRPr="00EC663B">
        <w:rPr>
          <w:rFonts w:ascii="Bookman Old Style" w:hAnsi="Bookman Old Style"/>
          <w:sz w:val="24"/>
          <w:szCs w:val="24"/>
          <w:lang w:val="es-MX"/>
        </w:rPr>
        <w:t>recaudación aplicable en el cantón.</w:t>
      </w:r>
    </w:p>
    <w:p w14:paraId="4F8E5C2B" w14:textId="4DD7123E" w:rsidR="00B372D0" w:rsidRPr="00EC663B" w:rsidRDefault="00B372D0" w:rsidP="00B41EFC">
      <w:pPr>
        <w:spacing w:line="360" w:lineRule="auto"/>
        <w:jc w:val="both"/>
        <w:rPr>
          <w:rFonts w:ascii="Bookman Old Style" w:hAnsi="Bookman Old Style"/>
          <w:sz w:val="24"/>
          <w:szCs w:val="24"/>
          <w:lang w:val="es-MX"/>
        </w:rPr>
      </w:pPr>
      <w:r w:rsidRPr="00EC663B">
        <w:rPr>
          <w:rFonts w:ascii="Bookman Old Style" w:hAnsi="Bookman Old Style"/>
          <w:sz w:val="24"/>
          <w:szCs w:val="24"/>
          <w:lang w:val="es-MX"/>
        </w:rPr>
        <w:t>En virtud de esta notificación, se vuelve i</w:t>
      </w:r>
      <w:r w:rsidR="00B41EFC" w:rsidRPr="00EC663B">
        <w:rPr>
          <w:rFonts w:ascii="Bookman Old Style" w:hAnsi="Bookman Old Style"/>
          <w:sz w:val="24"/>
          <w:szCs w:val="24"/>
          <w:lang w:val="es-MX"/>
        </w:rPr>
        <w:t xml:space="preserve">ndispensable realizar una nueva </w:t>
      </w:r>
      <w:r w:rsidRPr="00EC663B">
        <w:rPr>
          <w:rFonts w:ascii="Bookman Old Style" w:hAnsi="Bookman Old Style"/>
          <w:sz w:val="24"/>
          <w:szCs w:val="24"/>
          <w:lang w:val="es-MX"/>
        </w:rPr>
        <w:t>reforma</w:t>
      </w:r>
      <w:r w:rsidRPr="00EC663B">
        <w:rPr>
          <w:rFonts w:ascii="Bookman Old Style" w:hAnsi="Bookman Old Style"/>
          <w:b/>
          <w:sz w:val="24"/>
          <w:szCs w:val="24"/>
          <w:lang w:val="es-MX"/>
        </w:rPr>
        <w:t xml:space="preserve"> </w:t>
      </w:r>
      <w:r w:rsidRPr="00EC663B">
        <w:rPr>
          <w:rFonts w:ascii="Bookman Old Style" w:hAnsi="Bookman Old Style"/>
          <w:sz w:val="24"/>
          <w:szCs w:val="24"/>
          <w:lang w:val="es-MX"/>
        </w:rPr>
        <w:t xml:space="preserve">a la </w:t>
      </w:r>
      <w:r w:rsidRPr="00EC663B">
        <w:rPr>
          <w:rFonts w:ascii="Bookman Old Style" w:hAnsi="Bookman Old Style"/>
          <w:b/>
          <w:sz w:val="24"/>
          <w:szCs w:val="24"/>
          <w:lang w:val="es-MX"/>
        </w:rPr>
        <w:t>Primera Reforma Ordena</w:t>
      </w:r>
      <w:r w:rsidR="00B41EFC" w:rsidRPr="00EC663B">
        <w:rPr>
          <w:rFonts w:ascii="Bookman Old Style" w:hAnsi="Bookman Old Style"/>
          <w:b/>
          <w:sz w:val="24"/>
          <w:szCs w:val="24"/>
          <w:lang w:val="es-MX"/>
        </w:rPr>
        <w:t xml:space="preserve">nza Sustitutiva de la Ordenanza </w:t>
      </w:r>
      <w:r w:rsidRPr="00EC663B">
        <w:rPr>
          <w:rFonts w:ascii="Bookman Old Style" w:hAnsi="Bookman Old Style"/>
          <w:b/>
          <w:sz w:val="24"/>
          <w:szCs w:val="24"/>
          <w:lang w:val="es-MX"/>
        </w:rPr>
        <w:t>para la Gestión Integral de Residuos Sólidos del Cantón Guaranda</w:t>
      </w:r>
      <w:r w:rsidR="00B41EFC" w:rsidRPr="00EC663B">
        <w:rPr>
          <w:rFonts w:ascii="Bookman Old Style" w:hAnsi="Bookman Old Style"/>
          <w:sz w:val="24"/>
          <w:szCs w:val="24"/>
          <w:lang w:val="es-MX"/>
        </w:rPr>
        <w:t xml:space="preserve">, </w:t>
      </w:r>
      <w:r w:rsidRPr="00EC663B">
        <w:rPr>
          <w:rFonts w:ascii="Bookman Old Style" w:hAnsi="Bookman Old Style"/>
          <w:sz w:val="24"/>
          <w:szCs w:val="24"/>
          <w:lang w:val="es-MX"/>
        </w:rPr>
        <w:t xml:space="preserve">con el propósito de establecer un nuevo mecanismo de cálculo, determinación y cobro de las tasas por </w:t>
      </w:r>
      <w:r w:rsidR="00B41EFC" w:rsidRPr="00EC663B">
        <w:rPr>
          <w:rFonts w:ascii="Bookman Old Style" w:hAnsi="Bookman Old Style"/>
          <w:sz w:val="24"/>
          <w:szCs w:val="24"/>
          <w:lang w:val="es-MX"/>
        </w:rPr>
        <w:t xml:space="preserve">los servicios de recolección de </w:t>
      </w:r>
      <w:r w:rsidRPr="00EC663B">
        <w:rPr>
          <w:rFonts w:ascii="Bookman Old Style" w:hAnsi="Bookman Old Style"/>
          <w:sz w:val="24"/>
          <w:szCs w:val="24"/>
          <w:lang w:val="es-MX"/>
        </w:rPr>
        <w:t>residuos sólidos, aseo de vías públicas, transporte y disposición</w:t>
      </w:r>
      <w:r w:rsidR="00B41EFC" w:rsidRPr="00EC663B">
        <w:rPr>
          <w:rFonts w:ascii="Bookman Old Style" w:hAnsi="Bookman Old Style"/>
          <w:sz w:val="24"/>
          <w:szCs w:val="24"/>
          <w:lang w:val="es-MX"/>
        </w:rPr>
        <w:t xml:space="preserve"> final. </w:t>
      </w:r>
      <w:r w:rsidRPr="00EC663B">
        <w:rPr>
          <w:rFonts w:ascii="Bookman Old Style" w:hAnsi="Bookman Old Style"/>
          <w:sz w:val="24"/>
          <w:szCs w:val="24"/>
          <w:lang w:val="es-MX"/>
        </w:rPr>
        <w:t>Esta reforma permitirá que el Gobierno Autónomo Descentralizado del</w:t>
      </w:r>
      <w:r w:rsidR="00B41EFC" w:rsidRPr="00EC663B">
        <w:rPr>
          <w:rFonts w:ascii="Bookman Old Style" w:hAnsi="Bookman Old Style"/>
          <w:sz w:val="24"/>
          <w:szCs w:val="24"/>
          <w:lang w:val="es-MX"/>
        </w:rPr>
        <w:t xml:space="preserve"> </w:t>
      </w:r>
      <w:r w:rsidRPr="00EC663B">
        <w:rPr>
          <w:rFonts w:ascii="Bookman Old Style" w:hAnsi="Bookman Old Style"/>
          <w:sz w:val="24"/>
          <w:szCs w:val="24"/>
          <w:lang w:val="es-MX"/>
        </w:rPr>
        <w:t xml:space="preserve">Cantón Guaranda recupere la </w:t>
      </w:r>
      <w:r w:rsidR="00B41EFC" w:rsidRPr="00EC663B">
        <w:rPr>
          <w:rFonts w:ascii="Bookman Old Style" w:hAnsi="Bookman Old Style"/>
          <w:sz w:val="24"/>
          <w:szCs w:val="24"/>
          <w:lang w:val="es-MX"/>
        </w:rPr>
        <w:t xml:space="preserve">plena autonomía en la gestión y </w:t>
      </w:r>
      <w:r w:rsidRPr="00EC663B">
        <w:rPr>
          <w:rFonts w:ascii="Bookman Old Style" w:hAnsi="Bookman Old Style"/>
          <w:sz w:val="24"/>
          <w:szCs w:val="24"/>
          <w:lang w:val="es-MX"/>
        </w:rPr>
        <w:t>recaudación de sus tasas, evitando la de</w:t>
      </w:r>
      <w:r w:rsidR="00B41EFC" w:rsidRPr="00EC663B">
        <w:rPr>
          <w:rFonts w:ascii="Bookman Old Style" w:hAnsi="Bookman Old Style"/>
          <w:sz w:val="24"/>
          <w:szCs w:val="24"/>
          <w:lang w:val="es-MX"/>
        </w:rPr>
        <w:t xml:space="preserve">pendencia de entidades externas </w:t>
      </w:r>
      <w:r w:rsidRPr="00EC663B">
        <w:rPr>
          <w:rFonts w:ascii="Bookman Old Style" w:hAnsi="Bookman Old Style"/>
          <w:sz w:val="24"/>
          <w:szCs w:val="24"/>
          <w:lang w:val="es-MX"/>
        </w:rPr>
        <w:t xml:space="preserve">y garantizando la sostenibilidad financiera del servicio público de aseo. </w:t>
      </w:r>
    </w:p>
    <w:p w14:paraId="03007B07" w14:textId="4545FBDB"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La modificación contempla la impl</w:t>
      </w:r>
      <w:r w:rsidR="00B41EFC" w:rsidRPr="00EC663B">
        <w:rPr>
          <w:rFonts w:ascii="Bookman Old Style" w:hAnsi="Bookman Old Style"/>
          <w:sz w:val="24"/>
          <w:szCs w:val="24"/>
          <w:lang w:val="es-MX"/>
        </w:rPr>
        <w:t xml:space="preserve">ementación de una nueva fórmula </w:t>
      </w:r>
      <w:r w:rsidRPr="00EC663B">
        <w:rPr>
          <w:rFonts w:ascii="Bookman Old Style" w:hAnsi="Bookman Old Style"/>
          <w:sz w:val="24"/>
          <w:szCs w:val="24"/>
          <w:lang w:val="es-MX"/>
        </w:rPr>
        <w:t>técnica para la determinación de la</w:t>
      </w:r>
      <w:r w:rsidR="00B41EFC" w:rsidRPr="00EC663B">
        <w:rPr>
          <w:rFonts w:ascii="Bookman Old Style" w:hAnsi="Bookman Old Style"/>
          <w:sz w:val="24"/>
          <w:szCs w:val="24"/>
          <w:lang w:val="es-MX"/>
        </w:rPr>
        <w:t xml:space="preserve">s tasas, basada en criterios de </w:t>
      </w:r>
      <w:r w:rsidRPr="00EC663B">
        <w:rPr>
          <w:rFonts w:ascii="Bookman Old Style" w:hAnsi="Bookman Old Style"/>
          <w:sz w:val="24"/>
          <w:szCs w:val="24"/>
          <w:lang w:val="es-MX"/>
        </w:rPr>
        <w:t>eficiencia, proporcionalidad, equidad tarifa</w:t>
      </w:r>
      <w:r w:rsidR="00B41EFC" w:rsidRPr="00EC663B">
        <w:rPr>
          <w:rFonts w:ascii="Bookman Old Style" w:hAnsi="Bookman Old Style"/>
          <w:sz w:val="24"/>
          <w:szCs w:val="24"/>
          <w:lang w:val="es-MX"/>
        </w:rPr>
        <w:t xml:space="preserve">ria y cobertura efectiva de los </w:t>
      </w:r>
      <w:r w:rsidRPr="00EC663B">
        <w:rPr>
          <w:rFonts w:ascii="Bookman Old Style" w:hAnsi="Bookman Old Style"/>
          <w:sz w:val="24"/>
          <w:szCs w:val="24"/>
          <w:lang w:val="es-MX"/>
        </w:rPr>
        <w:t xml:space="preserve">costos operativos.  </w:t>
      </w:r>
    </w:p>
    <w:p w14:paraId="723241B7" w14:textId="4B63F219"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Se reemplaza el mecanismo de gestió</w:t>
      </w:r>
      <w:r w:rsidR="00B41EFC" w:rsidRPr="00EC663B">
        <w:rPr>
          <w:rFonts w:ascii="Bookman Old Style" w:hAnsi="Bookman Old Style"/>
          <w:sz w:val="24"/>
          <w:szCs w:val="24"/>
          <w:lang w:val="es-MX"/>
        </w:rPr>
        <w:t xml:space="preserve">n del cobro y se dispone que la </w:t>
      </w:r>
      <w:r w:rsidRPr="00EC663B">
        <w:rPr>
          <w:rFonts w:ascii="Bookman Old Style" w:hAnsi="Bookman Old Style"/>
          <w:sz w:val="24"/>
          <w:szCs w:val="24"/>
          <w:lang w:val="es-MX"/>
        </w:rPr>
        <w:t>Dirección Financiera municipal admini</w:t>
      </w:r>
      <w:r w:rsidR="00B41EFC" w:rsidRPr="00EC663B">
        <w:rPr>
          <w:rFonts w:ascii="Bookman Old Style" w:hAnsi="Bookman Old Style"/>
          <w:sz w:val="24"/>
          <w:szCs w:val="24"/>
          <w:lang w:val="es-MX"/>
        </w:rPr>
        <w:t xml:space="preserve">stre la recaudación mediante el </w:t>
      </w:r>
      <w:r w:rsidRPr="00EC663B">
        <w:rPr>
          <w:rFonts w:ascii="Bookman Old Style" w:hAnsi="Bookman Old Style"/>
          <w:sz w:val="24"/>
          <w:szCs w:val="24"/>
          <w:lang w:val="es-MX"/>
        </w:rPr>
        <w:t>impuesto predial, incorporando esta obl</w:t>
      </w:r>
      <w:r w:rsidR="00B41EFC" w:rsidRPr="00EC663B">
        <w:rPr>
          <w:rFonts w:ascii="Bookman Old Style" w:hAnsi="Bookman Old Style"/>
          <w:sz w:val="24"/>
          <w:szCs w:val="24"/>
          <w:lang w:val="es-MX"/>
        </w:rPr>
        <w:t xml:space="preserve">igación dentro de la estructura </w:t>
      </w:r>
      <w:r w:rsidRPr="00EC663B">
        <w:rPr>
          <w:rFonts w:ascii="Bookman Old Style" w:hAnsi="Bookman Old Style"/>
          <w:sz w:val="24"/>
          <w:szCs w:val="24"/>
          <w:lang w:val="es-MX"/>
        </w:rPr>
        <w:t>tributaria municipal. Esta modalidad se justif</w:t>
      </w:r>
      <w:r w:rsidR="00B41EFC" w:rsidRPr="00EC663B">
        <w:rPr>
          <w:rFonts w:ascii="Bookman Old Style" w:hAnsi="Bookman Old Style"/>
          <w:sz w:val="24"/>
          <w:szCs w:val="24"/>
          <w:lang w:val="es-MX"/>
        </w:rPr>
        <w:t xml:space="preserve">ica en razón de que el </w:t>
      </w:r>
      <w:r w:rsidRPr="00EC663B">
        <w:rPr>
          <w:rFonts w:ascii="Bookman Old Style" w:hAnsi="Bookman Old Style"/>
          <w:sz w:val="24"/>
          <w:szCs w:val="24"/>
          <w:lang w:val="es-MX"/>
        </w:rPr>
        <w:t xml:space="preserve">impuesto predial constituye una de las </w:t>
      </w:r>
      <w:r w:rsidR="00B41EFC" w:rsidRPr="00EC663B">
        <w:rPr>
          <w:rFonts w:ascii="Bookman Old Style" w:hAnsi="Bookman Old Style"/>
          <w:sz w:val="24"/>
          <w:szCs w:val="24"/>
          <w:lang w:val="es-MX"/>
        </w:rPr>
        <w:t xml:space="preserve">fuentes permanentes de ingresos </w:t>
      </w:r>
      <w:r w:rsidRPr="00EC663B">
        <w:rPr>
          <w:rFonts w:ascii="Bookman Old Style" w:hAnsi="Bookman Old Style"/>
          <w:sz w:val="24"/>
          <w:szCs w:val="24"/>
          <w:lang w:val="es-MX"/>
        </w:rPr>
        <w:t xml:space="preserve">propios, cuya gestión corresponde exclusivamente al Gobierno Autónomo Descentralizado Municipal del Cantón Guaranda, de conformidad con lo previsto en los artículos 238 y 240 de la Constitución de la República, así como en los artículos 54 literal b) y 55 del Código Orgánico de Organización Territorial, Autonomía y Descentralización (COOTAD), que </w:t>
      </w:r>
      <w:r w:rsidRPr="00EC663B">
        <w:rPr>
          <w:rFonts w:ascii="Bookman Old Style" w:hAnsi="Bookman Old Style"/>
          <w:sz w:val="24"/>
          <w:szCs w:val="24"/>
          <w:lang w:val="es-MX"/>
        </w:rPr>
        <w:lastRenderedPageBreak/>
        <w:t xml:space="preserve">otorgan a los municipios la competencia para administrar sus tributos y establecer mecanismos de recaudación. </w:t>
      </w:r>
    </w:p>
    <w:p w14:paraId="07D4B362" w14:textId="14D4949A" w:rsidR="00B372D0" w:rsidRPr="00EC663B" w:rsidRDefault="00B372D0" w:rsidP="00EC663B">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Es fundamental recalcar que estas reformas deben aprobarse antes del inicio del año fiscal 2026, con el fin de que las nuevas tasas puedan ser aplicadas sin generar vacíos normativos, desfinanciamiento del servicio o afectaciones a la planificación presupuestaria del municipio. La oportunidad de esta reforma resulta crucial para asegurar la continuidad, calidad y sostenibilidad del servicio de manejo integral de residuos sólidos, así como para garantizar el cumplimiento de la normativa nacional en materia tributaria y de protección de datos.  </w:t>
      </w:r>
    </w:p>
    <w:p w14:paraId="4A2858F0" w14:textId="77777777" w:rsidR="00B372D0" w:rsidRPr="00EC663B" w:rsidRDefault="00B372D0" w:rsidP="00B41EFC">
      <w:pPr>
        <w:spacing w:after="0" w:line="360" w:lineRule="auto"/>
        <w:jc w:val="center"/>
        <w:rPr>
          <w:rFonts w:ascii="Bookman Old Style" w:hAnsi="Bookman Old Style"/>
          <w:b/>
          <w:sz w:val="24"/>
          <w:szCs w:val="24"/>
          <w:lang w:val="es-MX"/>
        </w:rPr>
      </w:pPr>
      <w:r w:rsidRPr="00EC663B">
        <w:rPr>
          <w:rFonts w:ascii="Bookman Old Style" w:hAnsi="Bookman Old Style"/>
          <w:b/>
          <w:sz w:val="24"/>
          <w:szCs w:val="24"/>
          <w:lang w:val="es-MX"/>
        </w:rPr>
        <w:t>CONSIDERANDO</w:t>
      </w:r>
    </w:p>
    <w:p w14:paraId="08E8C62F"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spacing w:val="-6"/>
          <w:sz w:val="24"/>
          <w:szCs w:val="24"/>
          <w:lang w:val="es-ES_tradnl"/>
        </w:rPr>
        <w:t>Que,</w:t>
      </w:r>
      <w:r w:rsidRPr="00EC663B">
        <w:rPr>
          <w:rFonts w:ascii="Bookman Old Style" w:hAnsi="Bookman Old Style"/>
          <w:spacing w:val="-6"/>
          <w:sz w:val="24"/>
          <w:szCs w:val="24"/>
          <w:lang w:val="es-ES_tradnl"/>
        </w:rPr>
        <w:t xml:space="preserve"> el artículo 14 de la Constitución de la República del </w:t>
      </w:r>
      <w:r w:rsidRPr="00EC663B">
        <w:rPr>
          <w:rFonts w:ascii="Bookman Old Style" w:hAnsi="Bookman Old Style"/>
          <w:spacing w:val="-7"/>
          <w:sz w:val="24"/>
          <w:szCs w:val="24"/>
          <w:lang w:val="es-ES_tradnl"/>
        </w:rPr>
        <w:t xml:space="preserve">Ecuador (en adelante “Constitución”), reconoce el derecho </w:t>
      </w:r>
      <w:r w:rsidRPr="00EC663B">
        <w:rPr>
          <w:rFonts w:ascii="Bookman Old Style" w:hAnsi="Bookman Old Style"/>
          <w:sz w:val="24"/>
          <w:szCs w:val="24"/>
          <w:lang w:val="es-ES_tradnl"/>
        </w:rPr>
        <w:t>de la población a vivir en un ambiente sano y ecológicamente equilibrado;</w:t>
      </w:r>
    </w:p>
    <w:p w14:paraId="6507A821"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rPr>
        <w:t>Que</w:t>
      </w:r>
      <w:r w:rsidRPr="00EC663B">
        <w:rPr>
          <w:rFonts w:ascii="Bookman Old Style" w:hAnsi="Bookman Old Style"/>
          <w:sz w:val="24"/>
          <w:szCs w:val="24"/>
        </w:rPr>
        <w:t xml:space="preserve">, el art. 66, numeral 27 de la Constitución de la República garantiza a las personas el derecho a vivir en un ambiente sano, ecológicamente equilibrado, libre de contaminación y en armonía con la naturaleza. </w:t>
      </w:r>
    </w:p>
    <w:p w14:paraId="71C9D686"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rPr>
        <w:t>Que</w:t>
      </w:r>
      <w:r w:rsidRPr="00EC663B">
        <w:rPr>
          <w:rFonts w:ascii="Bookman Old Style" w:hAnsi="Bookman Old Style"/>
          <w:sz w:val="24"/>
          <w:szCs w:val="24"/>
        </w:rPr>
        <w:t>, el art. 83, numeral 6 de la Constitución de la República establece que son deberes y responsabilidades de las ecuatorianas y los ecuatorianos, entre otros, el respetar los derechos de la naturaleza, preservar un ambiente sano y utilizar los recursos naturales de modo racional, sustentable y sostenible.</w:t>
      </w:r>
    </w:p>
    <w:p w14:paraId="6737B908"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MX"/>
        </w:rPr>
        <w:t xml:space="preserve">Que, </w:t>
      </w:r>
      <w:r w:rsidRPr="00EC663B">
        <w:rPr>
          <w:rFonts w:ascii="Bookman Old Style" w:hAnsi="Bookman Old Style"/>
          <w:sz w:val="24"/>
          <w:szCs w:val="24"/>
          <w:lang w:val="es-MX"/>
        </w:rPr>
        <w:tab/>
        <w:t>el artículo 226 de la Constitución de la República del Ecuador, establece lo siguiente: “</w:t>
      </w:r>
      <w:r w:rsidRPr="00EC663B">
        <w:rPr>
          <w:rFonts w:ascii="Bookman Old Style" w:hAnsi="Bookman Old Style"/>
          <w:iCs/>
          <w:sz w:val="24"/>
          <w:szCs w:val="24"/>
          <w:lang w:val="es-MX"/>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r w:rsidRPr="00EC663B">
        <w:rPr>
          <w:rFonts w:ascii="Bookman Old Style" w:hAnsi="Bookman Old Style"/>
          <w:sz w:val="24"/>
          <w:szCs w:val="24"/>
          <w:lang w:val="es-MX"/>
        </w:rPr>
        <w:t>.”</w:t>
      </w:r>
    </w:p>
    <w:p w14:paraId="5FC2468A" w14:textId="77777777" w:rsidR="00B372D0" w:rsidRPr="00EC663B" w:rsidRDefault="00B372D0" w:rsidP="00B41EFC">
      <w:pPr>
        <w:shd w:val="clear" w:color="auto" w:fill="FFFFFF"/>
        <w:spacing w:after="120" w:line="360" w:lineRule="auto"/>
        <w:ind w:left="567" w:hanging="567"/>
        <w:jc w:val="both"/>
        <w:rPr>
          <w:rFonts w:ascii="Bookman Old Style" w:hAnsi="Bookman Old Style"/>
          <w:spacing w:val="-6"/>
          <w:sz w:val="24"/>
          <w:szCs w:val="24"/>
          <w:lang w:val="es-ES_tradnl"/>
        </w:rPr>
      </w:pPr>
      <w:r w:rsidRPr="00EC663B">
        <w:rPr>
          <w:rFonts w:ascii="Bookman Old Style" w:hAnsi="Bookman Old Style"/>
          <w:b/>
          <w:spacing w:val="-6"/>
          <w:sz w:val="24"/>
          <w:szCs w:val="24"/>
          <w:lang w:val="es-ES_tradnl"/>
        </w:rPr>
        <w:lastRenderedPageBreak/>
        <w:t xml:space="preserve">Que, </w:t>
      </w:r>
      <w:r w:rsidRPr="00EC663B">
        <w:rPr>
          <w:rFonts w:ascii="Bookman Old Style" w:hAnsi="Bookman Old Style"/>
          <w:spacing w:val="-6"/>
          <w:sz w:val="24"/>
          <w:szCs w:val="24"/>
          <w:lang w:val="es-ES_tradnl"/>
        </w:rPr>
        <w:t>el artículo 238 de la Constitución de la República del Ecuador dispone que “Los Gobiernos Autónomos Descentralizados gozarán de autonomía política, administrativa y financiera, y se regirán por los principios de solidaridad, subsidiariedad, equidad interterritorial, integración y participación ciudadana. (…)”;</w:t>
      </w:r>
    </w:p>
    <w:p w14:paraId="49FFA7D7"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ES_tradnl"/>
        </w:rPr>
        <w:t>Que,</w:t>
      </w:r>
      <w:r w:rsidRPr="00EC663B">
        <w:rPr>
          <w:rFonts w:ascii="Bookman Old Style" w:hAnsi="Bookman Old Style"/>
          <w:sz w:val="24"/>
          <w:szCs w:val="24"/>
          <w:lang w:val="es-ES_tradnl"/>
        </w:rPr>
        <w:t xml:space="preserve"> el Art. 240 de la Constitución de la Republica de Ecuador confiere a los Gobiernos Autónomos Descentralizados facultades legislativas en el ámbito de sus competencias y jurisdicciones territoriales;</w:t>
      </w:r>
    </w:p>
    <w:p w14:paraId="6FD6C94E"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MX"/>
        </w:rPr>
      </w:pPr>
      <w:r w:rsidRPr="00EC663B">
        <w:rPr>
          <w:rFonts w:ascii="Bookman Old Style" w:hAnsi="Bookman Old Style"/>
          <w:b/>
          <w:bCs/>
          <w:sz w:val="24"/>
          <w:szCs w:val="24"/>
          <w:lang w:val="es-MX"/>
        </w:rPr>
        <w:t>Que</w:t>
      </w:r>
      <w:r w:rsidRPr="00EC663B">
        <w:rPr>
          <w:rFonts w:ascii="Bookman Old Style" w:hAnsi="Bookman Old Style"/>
          <w:sz w:val="24"/>
          <w:szCs w:val="24"/>
          <w:lang w:val="es-MX"/>
        </w:rPr>
        <w:t>, el art. 264 numeral cuarto de la Constitución de la República manifiesta los gobiernos municipales tienen, entre otras competencias exclusivas, el prestar el servicio público de manejo de desechos y actividades de saneamiento ambiental.</w:t>
      </w:r>
    </w:p>
    <w:p w14:paraId="1DF5AC40" w14:textId="0CA4634B"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MX"/>
        </w:rPr>
        <w:t>Que</w:t>
      </w:r>
      <w:r w:rsidRPr="00EC663B">
        <w:rPr>
          <w:rFonts w:ascii="Bookman Old Style" w:hAnsi="Bookman Old Style"/>
          <w:sz w:val="24"/>
          <w:szCs w:val="24"/>
          <w:lang w:val="es-MX"/>
        </w:rPr>
        <w:t>, el art. 276, numeral 4 de la Constitución de la República señala que el régimen de desarrollo tendrá entre otros objetivos, el recuperar y conservar. La naturaleza y mantener un ambiente sano y sustentable que garantice a las personas y colectividades el acceso equitativo, permanente y de calidad al agua</w:t>
      </w:r>
      <w:r w:rsidR="00017819">
        <w:rPr>
          <w:rFonts w:ascii="Bookman Old Style" w:hAnsi="Bookman Old Style"/>
          <w:sz w:val="24"/>
          <w:szCs w:val="24"/>
          <w:lang w:val="es-MX"/>
        </w:rPr>
        <w:t>,</w:t>
      </w:r>
      <w:r w:rsidRPr="00EC663B">
        <w:rPr>
          <w:rFonts w:ascii="Bookman Old Style" w:hAnsi="Bookman Old Style"/>
          <w:sz w:val="24"/>
          <w:szCs w:val="24"/>
          <w:lang w:val="es-MX"/>
        </w:rPr>
        <w:t xml:space="preserve"> aire y suelo, y a los beneficios de los recursos del subsuelo y del patrimonio natural.</w:t>
      </w:r>
    </w:p>
    <w:p w14:paraId="74DDD0EA"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ES_tradnl"/>
        </w:rPr>
        <w:t>Que,</w:t>
      </w:r>
      <w:r w:rsidRPr="00EC663B">
        <w:rPr>
          <w:rFonts w:ascii="Bookman Old Style" w:hAnsi="Bookman Old Style"/>
          <w:sz w:val="24"/>
          <w:szCs w:val="24"/>
          <w:lang w:val="es-ES_tradnl"/>
        </w:rPr>
        <w:t xml:space="preserve"> el Art. 301 de la Constitución de la Republica de Ecuador establece que solo por acto normativo de órgano competente se podrán establecer, modificar, exonerar y extinguir tasas y contribuciones;</w:t>
      </w:r>
    </w:p>
    <w:p w14:paraId="7CA48DA7" w14:textId="77777777" w:rsidR="00B372D0" w:rsidRPr="00EC663B" w:rsidRDefault="00B372D0" w:rsidP="00B41EFC">
      <w:pPr>
        <w:shd w:val="clear" w:color="auto" w:fill="FFFFFF"/>
        <w:spacing w:after="120" w:line="360" w:lineRule="auto"/>
        <w:ind w:left="567" w:hanging="567"/>
        <w:jc w:val="both"/>
        <w:rPr>
          <w:rFonts w:ascii="Bookman Old Style" w:hAnsi="Bookman Old Style"/>
          <w:spacing w:val="-7"/>
          <w:sz w:val="24"/>
          <w:szCs w:val="24"/>
          <w:lang w:val="es-ES_tradnl"/>
        </w:rPr>
      </w:pPr>
      <w:r w:rsidRPr="00EC663B">
        <w:rPr>
          <w:rFonts w:ascii="Bookman Old Style" w:hAnsi="Bookman Old Style"/>
          <w:b/>
          <w:spacing w:val="-7"/>
          <w:sz w:val="24"/>
          <w:szCs w:val="24"/>
          <w:lang w:val="es-ES_tradnl"/>
        </w:rPr>
        <w:t>Que,</w:t>
      </w:r>
      <w:r w:rsidRPr="00EC663B">
        <w:rPr>
          <w:rFonts w:ascii="Bookman Old Style" w:hAnsi="Bookman Old Style"/>
          <w:spacing w:val="-7"/>
          <w:sz w:val="24"/>
          <w:szCs w:val="24"/>
          <w:lang w:val="es-ES_tradnl"/>
        </w:rPr>
        <w:t xml:space="preserve"> el segundo inciso, del artículo 314 de la Constitución, dispone al Estado garantizar que las provisiones de los servicios públicos respondan a los principios de obligatoriedad, generalidad, uniformidad, eficiencia, responsabilidad, universalidad, accesibilidad, regularidad, continuidad y calidad. El Estado dispondrá que los precios y tarifas de los servicios públicos sean equitativos, y establecerá su control y regulación;</w:t>
      </w:r>
    </w:p>
    <w:p w14:paraId="4FDB2831" w14:textId="77777777" w:rsidR="00B372D0" w:rsidRPr="00EC663B" w:rsidRDefault="00B372D0" w:rsidP="00B41EFC">
      <w:pPr>
        <w:shd w:val="clear" w:color="auto" w:fill="FFFFFF"/>
        <w:spacing w:after="120" w:line="360" w:lineRule="auto"/>
        <w:ind w:left="567" w:hanging="567"/>
        <w:jc w:val="both"/>
        <w:rPr>
          <w:rFonts w:ascii="Bookman Old Style" w:hAnsi="Bookman Old Style"/>
          <w:spacing w:val="-7"/>
          <w:sz w:val="24"/>
          <w:szCs w:val="24"/>
          <w:lang w:val="es-ES_tradnl"/>
        </w:rPr>
      </w:pPr>
      <w:r w:rsidRPr="00EC663B">
        <w:rPr>
          <w:rFonts w:ascii="Bookman Old Style" w:hAnsi="Bookman Old Style"/>
          <w:b/>
          <w:bCs/>
          <w:sz w:val="24"/>
          <w:szCs w:val="24"/>
          <w:lang w:val="es-MX"/>
        </w:rPr>
        <w:t>Que</w:t>
      </w:r>
      <w:r w:rsidRPr="00EC663B">
        <w:rPr>
          <w:rFonts w:ascii="Bookman Old Style" w:hAnsi="Bookman Old Style"/>
          <w:sz w:val="24"/>
          <w:szCs w:val="24"/>
          <w:lang w:val="es-MX"/>
        </w:rPr>
        <w:t xml:space="preserve">, el artículo 397, numerales 2 y 3 de la Constitución de la República señala de interés público la preservación del ambiente, para lo cual el Estado se compromete a establecer mecanismos efectivos de </w:t>
      </w:r>
      <w:r w:rsidRPr="00EC663B">
        <w:rPr>
          <w:rFonts w:ascii="Bookman Old Style" w:hAnsi="Bookman Old Style"/>
          <w:sz w:val="24"/>
          <w:szCs w:val="24"/>
          <w:lang w:val="es-MX"/>
        </w:rPr>
        <w:lastRenderedPageBreak/>
        <w:t>prevención y control de la contaminación ambiental, de recuperación de espacios naturales degradados y de manejo sustentable de los recursos naturales, así como regular la producción, importación, distribución, uso y disposición final de materiales tóxicos y peligrosos para las personas o el ambiente.</w:t>
      </w:r>
    </w:p>
    <w:p w14:paraId="25A1C8A1"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spacing w:val="-7"/>
          <w:sz w:val="24"/>
          <w:szCs w:val="24"/>
          <w:lang w:val="es-ES_tradnl"/>
        </w:rPr>
        <w:t>Que,</w:t>
      </w:r>
      <w:r w:rsidRPr="00EC663B">
        <w:rPr>
          <w:rFonts w:ascii="Bookman Old Style" w:hAnsi="Bookman Old Style"/>
          <w:spacing w:val="-7"/>
          <w:sz w:val="24"/>
          <w:szCs w:val="24"/>
          <w:lang w:val="es-ES_tradnl"/>
        </w:rPr>
        <w:t xml:space="preserve"> el artículo 415 de la Constitución establece que los </w:t>
      </w:r>
      <w:r w:rsidRPr="00EC663B">
        <w:rPr>
          <w:rFonts w:ascii="Bookman Old Style" w:hAnsi="Bookman Old Style"/>
          <w:spacing w:val="-5"/>
          <w:sz w:val="24"/>
          <w:szCs w:val="24"/>
          <w:lang w:val="es-ES_tradnl"/>
        </w:rPr>
        <w:t xml:space="preserve">gobiernos autónomos descentralizados desarrollarán </w:t>
      </w:r>
      <w:r w:rsidRPr="00EC663B">
        <w:rPr>
          <w:rFonts w:ascii="Bookman Old Style" w:hAnsi="Bookman Old Style"/>
          <w:spacing w:val="-2"/>
          <w:sz w:val="24"/>
          <w:szCs w:val="24"/>
          <w:lang w:val="es-ES_tradnl"/>
        </w:rPr>
        <w:t xml:space="preserve">programas de uso racional del agua y de reducción, </w:t>
      </w:r>
      <w:r w:rsidRPr="00EC663B">
        <w:rPr>
          <w:rFonts w:ascii="Bookman Old Style" w:hAnsi="Bookman Old Style"/>
          <w:spacing w:val="-7"/>
          <w:sz w:val="24"/>
          <w:szCs w:val="24"/>
          <w:lang w:val="es-ES_tradnl"/>
        </w:rPr>
        <w:t xml:space="preserve">reciclaje y tratamiento adecuado de desechos sólidos y </w:t>
      </w:r>
      <w:r w:rsidRPr="00EC663B">
        <w:rPr>
          <w:rFonts w:ascii="Bookman Old Style" w:hAnsi="Bookman Old Style"/>
          <w:sz w:val="24"/>
          <w:szCs w:val="24"/>
          <w:lang w:val="es-ES_tradnl"/>
        </w:rPr>
        <w:t>líquidos;</w:t>
      </w:r>
    </w:p>
    <w:p w14:paraId="4A9A8062"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MX"/>
        </w:rPr>
        <w:t>Que,</w:t>
      </w:r>
      <w:r w:rsidRPr="00EC663B">
        <w:rPr>
          <w:rFonts w:ascii="Bookman Old Style" w:hAnsi="Bookman Old Style"/>
          <w:sz w:val="24"/>
          <w:szCs w:val="24"/>
          <w:lang w:val="es-MX"/>
        </w:rPr>
        <w:t xml:space="preserve"> el artículo 5 del Código Orgánico Organización Territorial Autonomía y Descentralización </w:t>
      </w:r>
      <w:r w:rsidRPr="00EC663B">
        <w:rPr>
          <w:rFonts w:ascii="Bookman Old Style" w:hAnsi="Bookman Old Style"/>
          <w:spacing w:val="-6"/>
          <w:sz w:val="24"/>
          <w:szCs w:val="24"/>
          <w:lang w:val="es-ES_tradnl"/>
        </w:rPr>
        <w:t>(en adelante “COOTAD”)</w:t>
      </w:r>
      <w:r w:rsidRPr="00EC663B">
        <w:rPr>
          <w:rFonts w:ascii="Bookman Old Style" w:hAnsi="Bookman Old Style"/>
          <w:sz w:val="24"/>
          <w:szCs w:val="24"/>
          <w:lang w:val="es-MX"/>
        </w:rPr>
        <w:t xml:space="preserve"> establece: </w:t>
      </w:r>
      <w:r w:rsidRPr="00EC663B">
        <w:rPr>
          <w:rFonts w:ascii="Bookman Old Style" w:hAnsi="Bookman Old Style"/>
          <w:iCs/>
          <w:sz w:val="24"/>
          <w:szCs w:val="24"/>
          <w:lang w:val="es-MX"/>
        </w:rPr>
        <w:t>“La autonomía política, administrativa y financiera de los gobiernos autónomos descentralizados y regímenes especiales prevista en la Constitución comprende el derecho y la capacidad efectiva de estos niveles de gobierno para regirse mediante normas y órganos de gobierno propios, en sus respectivas circunscripciones territoriales, bajo su responsabilidad, sin intervención de otro nivel de gobierno y en beneficio de sus habitantes. Esta autonomía se ejercerá de manera responsable y solidaria. En ningún caso pondrá en riesgo el carácter unitario del Estado y no permitirá la secesión del territorio nacional”;</w:t>
      </w:r>
    </w:p>
    <w:p w14:paraId="243C1CC6"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ES_tradnl"/>
        </w:rPr>
        <w:t>Que,</w:t>
      </w:r>
      <w:r w:rsidRPr="00EC663B">
        <w:rPr>
          <w:rFonts w:ascii="Bookman Old Style" w:hAnsi="Bookman Old Style"/>
          <w:sz w:val="24"/>
          <w:szCs w:val="24"/>
          <w:lang w:val="es-ES_tradnl"/>
        </w:rPr>
        <w:t xml:space="preserve"> el Art. 7 del </w:t>
      </w:r>
      <w:r w:rsidRPr="00EC663B">
        <w:rPr>
          <w:rFonts w:ascii="Bookman Old Style" w:hAnsi="Bookman Old Style"/>
          <w:spacing w:val="-6"/>
          <w:sz w:val="24"/>
          <w:szCs w:val="24"/>
          <w:lang w:val="es-ES_tradnl"/>
        </w:rPr>
        <w:t>COOTAD,</w:t>
      </w:r>
      <w:r w:rsidRPr="00EC663B">
        <w:rPr>
          <w:rFonts w:ascii="Bookman Old Style" w:hAnsi="Bookman Old Style"/>
          <w:sz w:val="24"/>
          <w:szCs w:val="24"/>
          <w:lang w:val="es-ES_tradnl"/>
        </w:rPr>
        <w:t xml:space="preserve"> establece la capacidad normativa de los Concejos Municipales para dictar normas de carácter general, a través de ordenanzas, acuerdos y resoluciones;</w:t>
      </w:r>
    </w:p>
    <w:p w14:paraId="3128A45C" w14:textId="77777777" w:rsidR="00B372D0" w:rsidRPr="00EC663B" w:rsidRDefault="00B372D0" w:rsidP="00B41EFC">
      <w:pPr>
        <w:shd w:val="clear" w:color="auto" w:fill="FFFFFF"/>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bCs/>
          <w:sz w:val="24"/>
          <w:szCs w:val="24"/>
          <w:lang w:val="es-MX"/>
        </w:rPr>
        <w:t>Que</w:t>
      </w:r>
      <w:r w:rsidRPr="00EC663B">
        <w:rPr>
          <w:rFonts w:ascii="Bookman Old Style" w:hAnsi="Bookman Old Style"/>
          <w:sz w:val="24"/>
          <w:szCs w:val="24"/>
          <w:lang w:val="es-MX"/>
        </w:rPr>
        <w:t>, el COOTAD dispone en su Art. 54 literal a) que es función del Gobierno Municipal el desarrollo sustentable de la circunscripción territorial cantonal, para garantizar la realización del buen vivir a través de la implementación de políticas públicas cantonales.</w:t>
      </w:r>
    </w:p>
    <w:p w14:paraId="7F361B62" w14:textId="77777777" w:rsidR="00B372D0" w:rsidRPr="00EC663B" w:rsidRDefault="00B372D0" w:rsidP="00B41EFC">
      <w:pPr>
        <w:shd w:val="clear" w:color="auto" w:fill="FFFFFF"/>
        <w:tabs>
          <w:tab w:val="left" w:pos="567"/>
        </w:tabs>
        <w:spacing w:after="120" w:line="360" w:lineRule="auto"/>
        <w:ind w:left="567" w:hanging="567"/>
        <w:jc w:val="both"/>
        <w:rPr>
          <w:rFonts w:ascii="Bookman Old Style" w:hAnsi="Bookman Old Style"/>
          <w:sz w:val="24"/>
          <w:szCs w:val="24"/>
          <w:lang w:val="es-ES_tradnl"/>
        </w:rPr>
      </w:pPr>
      <w:r w:rsidRPr="00EC663B">
        <w:rPr>
          <w:rFonts w:ascii="Bookman Old Style" w:hAnsi="Bookman Old Style"/>
          <w:b/>
          <w:spacing w:val="-5"/>
          <w:sz w:val="24"/>
          <w:szCs w:val="24"/>
          <w:lang w:val="es-ES_tradnl"/>
        </w:rPr>
        <w:t>Que,</w:t>
      </w:r>
      <w:r w:rsidRPr="00EC663B">
        <w:rPr>
          <w:rFonts w:ascii="Bookman Old Style" w:hAnsi="Bookman Old Style"/>
          <w:spacing w:val="-5"/>
          <w:sz w:val="24"/>
          <w:szCs w:val="24"/>
          <w:lang w:val="es-ES_tradnl"/>
        </w:rPr>
        <w:t xml:space="preserve"> </w:t>
      </w:r>
      <w:r w:rsidRPr="00EC663B">
        <w:rPr>
          <w:rFonts w:ascii="Bookman Old Style" w:hAnsi="Bookman Old Style"/>
          <w:spacing w:val="-5"/>
          <w:sz w:val="24"/>
          <w:szCs w:val="24"/>
          <w:lang w:val="es-ES_tradnl"/>
        </w:rPr>
        <w:tab/>
        <w:t xml:space="preserve">la letra d) del artículo 55 del </w:t>
      </w:r>
      <w:r w:rsidRPr="00EC663B">
        <w:rPr>
          <w:rFonts w:ascii="Bookman Old Style" w:hAnsi="Bookman Old Style"/>
          <w:spacing w:val="-6"/>
          <w:sz w:val="24"/>
          <w:szCs w:val="24"/>
          <w:lang w:val="es-ES_tradnl"/>
        </w:rPr>
        <w:t xml:space="preserve">COOTAD, </w:t>
      </w:r>
      <w:r w:rsidRPr="00EC663B">
        <w:rPr>
          <w:rFonts w:ascii="Bookman Old Style" w:hAnsi="Bookman Old Style"/>
          <w:sz w:val="24"/>
          <w:szCs w:val="24"/>
          <w:lang w:val="es-ES_tradnl"/>
        </w:rPr>
        <w:t xml:space="preserve">establece que, los </w:t>
      </w:r>
      <w:r w:rsidRPr="00EC663B">
        <w:rPr>
          <w:rFonts w:ascii="Bookman Old Style" w:hAnsi="Bookman Old Style"/>
          <w:spacing w:val="-8"/>
          <w:sz w:val="24"/>
          <w:szCs w:val="24"/>
          <w:lang w:val="es-ES_tradnl"/>
        </w:rPr>
        <w:t xml:space="preserve">gobiernos autónomos descentralizados municipales tienen </w:t>
      </w:r>
      <w:r w:rsidRPr="00EC663B">
        <w:rPr>
          <w:rFonts w:ascii="Bookman Old Style" w:hAnsi="Bookman Old Style"/>
          <w:spacing w:val="-9"/>
          <w:sz w:val="24"/>
          <w:szCs w:val="24"/>
          <w:lang w:val="es-ES_tradnl"/>
        </w:rPr>
        <w:t xml:space="preserve">competencia exclusiva </w:t>
      </w:r>
      <w:r w:rsidRPr="00EC663B">
        <w:rPr>
          <w:rFonts w:ascii="Bookman Old Style" w:hAnsi="Bookman Old Style"/>
          <w:spacing w:val="-9"/>
          <w:sz w:val="24"/>
          <w:szCs w:val="24"/>
          <w:lang w:val="es-ES_tradnl"/>
        </w:rPr>
        <w:lastRenderedPageBreak/>
        <w:t xml:space="preserve">para prestar los servicios públicos de manejo de desechos sólidos y actividades de saneamiento </w:t>
      </w:r>
      <w:r w:rsidRPr="00EC663B">
        <w:rPr>
          <w:rFonts w:ascii="Bookman Old Style" w:hAnsi="Bookman Old Style"/>
          <w:sz w:val="24"/>
          <w:szCs w:val="24"/>
          <w:lang w:val="es-ES_tradnl"/>
        </w:rPr>
        <w:t>ambiental;</w:t>
      </w:r>
    </w:p>
    <w:p w14:paraId="59C5871F" w14:textId="77777777" w:rsidR="00B372D0" w:rsidRPr="00EC663B" w:rsidRDefault="00B372D0" w:rsidP="00B41EFC">
      <w:pPr>
        <w:shd w:val="clear" w:color="auto" w:fill="FFFFFF"/>
        <w:spacing w:after="120" w:line="360" w:lineRule="auto"/>
        <w:ind w:left="567" w:right="5" w:hanging="567"/>
        <w:jc w:val="both"/>
        <w:rPr>
          <w:rFonts w:ascii="Bookman Old Style" w:hAnsi="Bookman Old Style"/>
          <w:spacing w:val="-8"/>
          <w:sz w:val="24"/>
          <w:szCs w:val="24"/>
          <w:lang w:val="es-ES_tradnl"/>
        </w:rPr>
      </w:pPr>
      <w:r w:rsidRPr="00EC663B">
        <w:rPr>
          <w:rFonts w:ascii="Bookman Old Style" w:hAnsi="Bookman Old Style"/>
          <w:b/>
          <w:bCs/>
          <w:iCs/>
          <w:sz w:val="24"/>
          <w:szCs w:val="24"/>
          <w:lang w:val="es-MX"/>
        </w:rPr>
        <w:t>Que</w:t>
      </w:r>
      <w:r w:rsidRPr="00EC663B">
        <w:rPr>
          <w:rFonts w:ascii="Bookman Old Style" w:hAnsi="Bookman Old Style"/>
          <w:i/>
          <w:sz w:val="24"/>
          <w:szCs w:val="24"/>
          <w:lang w:val="es-MX"/>
        </w:rPr>
        <w:t xml:space="preserve">, </w:t>
      </w:r>
      <w:r w:rsidRPr="00EC663B">
        <w:rPr>
          <w:rFonts w:ascii="Bookman Old Style" w:hAnsi="Bookman Old Style"/>
          <w:spacing w:val="-8"/>
          <w:sz w:val="24"/>
          <w:szCs w:val="24"/>
          <w:lang w:val="es-ES_tradnl"/>
        </w:rPr>
        <w:t>el Art. 137 del Código Orgánico de Organización Territorial, Autonomía y Descentralización, establece que la competencia en la prestación de los servicios públicos de manejo de desechos sólidos y actividades de saneamiento ambiental, en todas sus fases, las ejecutaran los Gobiernos Autónomos Descentralizados Municipales con sus respectivas normativas;</w:t>
      </w:r>
    </w:p>
    <w:p w14:paraId="09DD884E" w14:textId="77777777" w:rsidR="00B372D0" w:rsidRPr="00EC663B" w:rsidRDefault="00B372D0" w:rsidP="00B41EFC">
      <w:pPr>
        <w:shd w:val="clear" w:color="auto" w:fill="FFFFFF"/>
        <w:spacing w:after="120" w:line="360" w:lineRule="auto"/>
        <w:ind w:left="567" w:right="5" w:hanging="567"/>
        <w:jc w:val="both"/>
        <w:rPr>
          <w:rFonts w:ascii="Bookman Old Style" w:hAnsi="Bookman Old Style"/>
          <w:spacing w:val="-9"/>
          <w:sz w:val="24"/>
          <w:szCs w:val="24"/>
          <w:lang w:val="es-ES_tradnl"/>
        </w:rPr>
      </w:pPr>
      <w:r w:rsidRPr="00EC663B">
        <w:rPr>
          <w:rFonts w:ascii="Bookman Old Style" w:hAnsi="Bookman Old Style"/>
          <w:b/>
          <w:spacing w:val="-4"/>
          <w:sz w:val="24"/>
          <w:szCs w:val="24"/>
          <w:lang w:val="es-ES_tradnl"/>
        </w:rPr>
        <w:t>Que,</w:t>
      </w:r>
      <w:r w:rsidRPr="00EC663B">
        <w:rPr>
          <w:rFonts w:ascii="Bookman Old Style" w:hAnsi="Bookman Old Style"/>
          <w:spacing w:val="-4"/>
          <w:sz w:val="24"/>
          <w:szCs w:val="24"/>
          <w:lang w:val="es-ES_tradnl"/>
        </w:rPr>
        <w:t xml:space="preserve"> según establecen los artículos 566 y 568 del </w:t>
      </w:r>
      <w:r w:rsidRPr="00EC663B">
        <w:rPr>
          <w:rFonts w:ascii="Bookman Old Style" w:hAnsi="Bookman Old Style"/>
          <w:spacing w:val="-7"/>
          <w:sz w:val="24"/>
          <w:szCs w:val="24"/>
          <w:lang w:val="es-ES_tradnl"/>
        </w:rPr>
        <w:t xml:space="preserve">COOTAD, los gobiernos autónomos descentralizados </w:t>
      </w:r>
      <w:r w:rsidRPr="00EC663B">
        <w:rPr>
          <w:rFonts w:ascii="Bookman Old Style" w:hAnsi="Bookman Old Style"/>
          <w:spacing w:val="-5"/>
          <w:sz w:val="24"/>
          <w:szCs w:val="24"/>
          <w:lang w:val="es-ES_tradnl"/>
        </w:rPr>
        <w:t xml:space="preserve">municipales y distritales tienen la facultad de determinar </w:t>
      </w:r>
      <w:r w:rsidRPr="00EC663B">
        <w:rPr>
          <w:rFonts w:ascii="Bookman Old Style" w:hAnsi="Bookman Old Style"/>
          <w:spacing w:val="-6"/>
          <w:sz w:val="24"/>
          <w:szCs w:val="24"/>
          <w:lang w:val="es-ES_tradnl"/>
        </w:rPr>
        <w:t xml:space="preserve">tasas por la prestación de servicios públicos, entre las que </w:t>
      </w:r>
      <w:r w:rsidRPr="00EC663B">
        <w:rPr>
          <w:rFonts w:ascii="Bookman Old Style" w:hAnsi="Bookman Old Style"/>
          <w:spacing w:val="-9"/>
          <w:sz w:val="24"/>
          <w:szCs w:val="24"/>
          <w:lang w:val="es-ES_tradnl"/>
        </w:rPr>
        <w:t>se encuentran los de recolección de basura y aseo público;</w:t>
      </w:r>
    </w:p>
    <w:p w14:paraId="12C2DC39" w14:textId="77777777" w:rsidR="00B372D0" w:rsidRPr="00EC663B" w:rsidRDefault="00B372D0" w:rsidP="00B41EFC">
      <w:pPr>
        <w:shd w:val="clear" w:color="auto" w:fill="FFFFFF"/>
        <w:spacing w:after="120" w:line="360" w:lineRule="auto"/>
        <w:ind w:left="567" w:right="5" w:hanging="567"/>
        <w:jc w:val="both"/>
        <w:rPr>
          <w:rFonts w:ascii="Bookman Old Style" w:hAnsi="Bookman Old Style"/>
          <w:spacing w:val="-9"/>
          <w:sz w:val="24"/>
          <w:szCs w:val="24"/>
          <w:lang w:val="es-ES_tradnl"/>
        </w:rPr>
      </w:pPr>
      <w:r w:rsidRPr="00EC663B">
        <w:rPr>
          <w:rFonts w:ascii="Bookman Old Style" w:hAnsi="Bookman Old Style"/>
          <w:b/>
          <w:bCs/>
          <w:spacing w:val="-9"/>
          <w:sz w:val="24"/>
          <w:szCs w:val="24"/>
          <w:lang w:val="es-ES_tradnl"/>
        </w:rPr>
        <w:t>Que,</w:t>
      </w:r>
      <w:r w:rsidRPr="00EC663B">
        <w:rPr>
          <w:rFonts w:ascii="Bookman Old Style" w:hAnsi="Bookman Old Style"/>
          <w:spacing w:val="-9"/>
          <w:sz w:val="24"/>
          <w:szCs w:val="24"/>
          <w:lang w:val="es-ES_tradnl"/>
        </w:rPr>
        <w:t xml:space="preserve"> con fecha del 2024, se suscribió la Renovación del Convenio Interinstitucional No. 028-2018, para la recaudación de Tasa por el Servicio de Recolección de basura, entre La Empresa Eléctrica Publica estratégica Corporación Nacional de Electricidad — CNEL EP, Unidad de Negocio Bolívar y el Gobierno Autónomo Descentralizado Municipal del cantón.</w:t>
      </w:r>
    </w:p>
    <w:p w14:paraId="2155C9AE" w14:textId="02EE9094" w:rsidR="00235E26" w:rsidRPr="00EC663B" w:rsidRDefault="00B372D0" w:rsidP="00EC663B">
      <w:pPr>
        <w:spacing w:line="360" w:lineRule="auto"/>
        <w:jc w:val="both"/>
        <w:rPr>
          <w:rFonts w:ascii="Bookman Old Style" w:hAnsi="Bookman Old Style"/>
          <w:sz w:val="24"/>
          <w:szCs w:val="24"/>
          <w:lang w:val="es-MX"/>
        </w:rPr>
      </w:pPr>
      <w:r w:rsidRPr="00EC663B">
        <w:rPr>
          <w:rFonts w:ascii="Bookman Old Style" w:hAnsi="Bookman Old Style"/>
          <w:sz w:val="24"/>
          <w:szCs w:val="24"/>
          <w:lang w:val="es-MX"/>
        </w:rPr>
        <w:t>En uso de la facultad legislativa prevista en el artículo 240 de la Constitución de la República del Ecuador y facultad normativa determinada en los artículos 7 y 57 literal a) del Código Orgánico de Organización Territorial, Autonomía y Descentralización, expide:</w:t>
      </w:r>
    </w:p>
    <w:p w14:paraId="71EE5311" w14:textId="5A484396" w:rsidR="00B372D0" w:rsidRPr="00EC663B" w:rsidRDefault="00B372D0" w:rsidP="00B41EFC">
      <w:pPr>
        <w:spacing w:after="0" w:line="360" w:lineRule="auto"/>
        <w:ind w:left="-5" w:right="18"/>
        <w:jc w:val="both"/>
        <w:rPr>
          <w:rFonts w:ascii="Bookman Old Style" w:hAnsi="Bookman Old Style"/>
          <w:b/>
          <w:sz w:val="24"/>
          <w:szCs w:val="24"/>
          <w:lang w:val="es-MX"/>
        </w:rPr>
      </w:pPr>
      <w:r w:rsidRPr="00EC663B">
        <w:rPr>
          <w:rFonts w:ascii="Bookman Old Style" w:hAnsi="Bookman Old Style"/>
          <w:b/>
          <w:sz w:val="24"/>
          <w:szCs w:val="24"/>
          <w:lang w:val="es-MX"/>
        </w:rPr>
        <w:t>PROYECTO DE SEGUNDA REFORMA A LA ORDENANZA SUSTITUTIVA DE LA ORDENANZA PARA LA GESTIÓN INTEGRAL DE RESIDUOS SÓLIDOS DEL CANTÓN GUARANDA.</w:t>
      </w:r>
    </w:p>
    <w:p w14:paraId="5EF5A152" w14:textId="77777777" w:rsidR="00B372D0" w:rsidRPr="00EC663B" w:rsidRDefault="00B372D0" w:rsidP="00B41EFC">
      <w:pPr>
        <w:spacing w:after="0" w:line="360" w:lineRule="auto"/>
        <w:ind w:left="-5" w:right="18"/>
        <w:jc w:val="both"/>
        <w:rPr>
          <w:rFonts w:ascii="Bookman Old Style" w:hAnsi="Bookman Old Style"/>
          <w:b/>
          <w:sz w:val="24"/>
          <w:szCs w:val="24"/>
          <w:lang w:val="es-MX"/>
        </w:rPr>
      </w:pPr>
    </w:p>
    <w:p w14:paraId="103AA13B"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 xml:space="preserve">ARTICULO 1.- </w:t>
      </w:r>
      <w:r w:rsidRPr="00EC663B">
        <w:rPr>
          <w:rFonts w:ascii="Bookman Old Style" w:hAnsi="Bookman Old Style"/>
          <w:sz w:val="24"/>
          <w:szCs w:val="24"/>
          <w:lang w:val="es-MX"/>
        </w:rPr>
        <w:t xml:space="preserve">Suprímase, en todos los artículos de la presente Ordenanza, la expresión “Comisario Municipal” e incorpórese en su lugar la expresión “Comisario Ambiental”, adecuándose el texto normativo a la </w:t>
      </w:r>
      <w:r w:rsidRPr="00EC663B">
        <w:rPr>
          <w:rFonts w:ascii="Bookman Old Style" w:hAnsi="Bookman Old Style"/>
          <w:sz w:val="24"/>
          <w:szCs w:val="24"/>
          <w:lang w:val="es-MX"/>
        </w:rPr>
        <w:lastRenderedPageBreak/>
        <w:t xml:space="preserve">estructura administrativa vigente del Gobierno Autónomo Descentralizado Municipal del cantón Guaranda. </w:t>
      </w:r>
    </w:p>
    <w:p w14:paraId="34481120"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08F93593" w14:textId="72C4DDAD" w:rsidR="00710EAF" w:rsidRDefault="00B372D0" w:rsidP="00710EAF">
      <w:pPr>
        <w:spacing w:after="0" w:line="360" w:lineRule="auto"/>
        <w:ind w:right="18"/>
        <w:jc w:val="both"/>
        <w:rPr>
          <w:rFonts w:ascii="Bookman Old Style" w:hAnsi="Bookman Old Style"/>
          <w:sz w:val="24"/>
          <w:szCs w:val="24"/>
          <w:lang w:val="es-MX"/>
        </w:rPr>
      </w:pPr>
      <w:r w:rsidRPr="00EC663B">
        <w:rPr>
          <w:rFonts w:ascii="Bookman Old Style" w:hAnsi="Bookman Old Style"/>
          <w:b/>
          <w:sz w:val="24"/>
          <w:szCs w:val="24"/>
          <w:lang w:val="es-MX"/>
        </w:rPr>
        <w:t xml:space="preserve">ARTICULO 2.- AGREGUESE A CONTINUACIÓN DEL PRIMER PÁRRAFO DEL ARTÍCULO 58.- </w:t>
      </w:r>
      <w:r w:rsidRPr="00EC663B">
        <w:rPr>
          <w:rFonts w:ascii="Bookman Old Style" w:hAnsi="Bookman Old Style"/>
          <w:sz w:val="24"/>
          <w:szCs w:val="24"/>
          <w:lang w:val="es-MX"/>
        </w:rPr>
        <w:t>Las Atribuciones del Comisario Ambiental</w:t>
      </w:r>
      <w:r w:rsidR="00710EAF">
        <w:rPr>
          <w:rFonts w:ascii="Bookman Old Style" w:hAnsi="Bookman Old Style"/>
          <w:sz w:val="24"/>
          <w:szCs w:val="24"/>
          <w:lang w:val="es-MX"/>
        </w:rPr>
        <w:t xml:space="preserve"> y del </w:t>
      </w:r>
      <w:r w:rsidR="00710EAF" w:rsidRPr="00EC663B">
        <w:rPr>
          <w:rFonts w:ascii="Bookman Old Style" w:hAnsi="Bookman Old Style"/>
          <w:sz w:val="24"/>
          <w:szCs w:val="24"/>
        </w:rPr>
        <w:t>Técnico de Gestión de Residuos Sólidos</w:t>
      </w:r>
      <w:r w:rsidR="00710EAF">
        <w:rPr>
          <w:rFonts w:ascii="Bookman Old Style" w:hAnsi="Bookman Old Style"/>
          <w:sz w:val="24"/>
          <w:szCs w:val="24"/>
        </w:rPr>
        <w:t>, serán:</w:t>
      </w:r>
    </w:p>
    <w:p w14:paraId="4BC5D769" w14:textId="5B88F1B0" w:rsidR="00B372D0" w:rsidRPr="00710EAF" w:rsidRDefault="00710EAF" w:rsidP="00710EAF">
      <w:pPr>
        <w:pStyle w:val="Prrafodelista"/>
        <w:numPr>
          <w:ilvl w:val="0"/>
          <w:numId w:val="15"/>
        </w:numPr>
        <w:spacing w:line="360" w:lineRule="auto"/>
        <w:ind w:right="18"/>
        <w:jc w:val="both"/>
        <w:rPr>
          <w:rFonts w:ascii="Bookman Old Style" w:hAnsi="Bookman Old Style"/>
          <w:lang w:val="es-MX"/>
        </w:rPr>
      </w:pPr>
      <w:r w:rsidRPr="00710EAF">
        <w:rPr>
          <w:rFonts w:ascii="Bookman Old Style" w:hAnsi="Bookman Old Style"/>
          <w:lang w:val="es-MX"/>
        </w:rPr>
        <w:t>Las Atribuciones del Comisario Ambiental</w:t>
      </w:r>
      <w:r w:rsidR="00B372D0" w:rsidRPr="00710EAF">
        <w:rPr>
          <w:rFonts w:ascii="Bookman Old Style" w:hAnsi="Bookman Old Style"/>
          <w:lang w:val="es-MX"/>
        </w:rPr>
        <w:t>, en el ámbito de su competencia territorial y conforme a la Constitución de la República, el Código Orgánico de Organización Territorial, Autonomía y Descentralización (COOTAD), la normativa ambiental vigente, tendrá las siguientes atribuciones:</w:t>
      </w:r>
    </w:p>
    <w:p w14:paraId="7FE5A85D"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Ejercer la potestad de control y vigilancia ambiental, a fin de verificar el cumplimiento de la normativa ambiental, ordenanzas municipales y disposiciones administrativas relacionadas con la gestión ambiental y la gestión integral de residuos sólidos.</w:t>
      </w:r>
    </w:p>
    <w:p w14:paraId="2878F418"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Realizar inspecciones, operativos y controles ambientales, de oficio o a petición de parte, en actividades, obras o establecimientos públicos y privados que puedan generar impactos ambientales.</w:t>
      </w:r>
    </w:p>
    <w:p w14:paraId="4338FD62"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Iniciar, sustanciar y resolver procesos administrativos sancionadores, en el marco de las competencias delegadas o establecidas en la ordenanza correspondiente, garantizando el debido proceso y el derecho a la defensa.</w:t>
      </w:r>
    </w:p>
    <w:p w14:paraId="7C5D6912"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Imponer medidas administrativas preventivas o correctivas, tales como clausura temporal, suspensión de actividades, decomiso de bienes, retención de materiales, limpieza obligatoria, entre otras, conforme a la normativa aplicable.</w:t>
      </w:r>
    </w:p>
    <w:p w14:paraId="2694DAE4"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Conocer y atender denuncias ciudadanas relacionadas con infracciones ambientales, disposición inadecuada de residuos, contaminación ambiental y afectaciones al espacio público.</w:t>
      </w:r>
    </w:p>
    <w:p w14:paraId="379E2057"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 xml:space="preserve">Coordinar acciones interinstitucionales con entidades del Gobierno Central, Policía Nacional, Fuerzas Armadas, Agentes de Control </w:t>
      </w:r>
      <w:r w:rsidRPr="00EC663B">
        <w:rPr>
          <w:rFonts w:ascii="Bookman Old Style" w:hAnsi="Bookman Old Style"/>
          <w:lang w:val="es-MX"/>
        </w:rPr>
        <w:lastRenderedPageBreak/>
        <w:t>Municipal y otras instituciones, para la ejecución de operativos ambientales conjuntos.</w:t>
      </w:r>
    </w:p>
    <w:p w14:paraId="484B7655"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Solicitar la asistencia de la fuerza pública, cuando sea necesario para el cumplimiento de actos administrativos, inspecciones o medidas dispuestas en el ejercicio de sus atribuciones.</w:t>
      </w:r>
    </w:p>
    <w:p w14:paraId="120774B9"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Requerir información, documentación o permisos ambientales a personas naturales o jurídicas sujetas a control, conforme a la ley.</w:t>
      </w:r>
    </w:p>
    <w:p w14:paraId="43158884"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Ordenar la ejecución de acciones inmediatas de mitigación o remediación ambiental, cuando se evidencie riesgo o daño ambiental inminente.</w:t>
      </w:r>
    </w:p>
    <w:p w14:paraId="2C230958"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Supervisar y verificar el cumplimiento de sanciones, medidas correctivas y disposiciones administrativas impuestas por la autoridad competente.</w:t>
      </w:r>
    </w:p>
    <w:p w14:paraId="572A4331"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Elaborar y remitir informes técnicos, jurídicos y administrativos a las autoridades competentes, relacionados con los procesos y actuaciones ejecutadas.</w:t>
      </w:r>
    </w:p>
    <w:p w14:paraId="0B60A0EC" w14:textId="77777777"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Participar en campañas de educación, prevención y sensibilización ambiental, en coordinación con las dependencias municipales competentes.</w:t>
      </w:r>
    </w:p>
    <w:p w14:paraId="150A235A" w14:textId="6EF20B3C" w:rsidR="00B372D0" w:rsidRPr="00EC663B" w:rsidRDefault="00B372D0" w:rsidP="00B41EFC">
      <w:pPr>
        <w:pStyle w:val="Prrafodelista"/>
        <w:numPr>
          <w:ilvl w:val="0"/>
          <w:numId w:val="6"/>
        </w:numPr>
        <w:spacing w:line="360" w:lineRule="auto"/>
        <w:ind w:left="426" w:right="18" w:hanging="284"/>
        <w:jc w:val="both"/>
        <w:rPr>
          <w:rFonts w:ascii="Bookman Old Style" w:hAnsi="Bookman Old Style"/>
          <w:lang w:val="es-MX"/>
        </w:rPr>
      </w:pPr>
      <w:r w:rsidRPr="00EC663B">
        <w:rPr>
          <w:rFonts w:ascii="Bookman Old Style" w:hAnsi="Bookman Old Style"/>
          <w:lang w:val="es-MX"/>
        </w:rPr>
        <w:t>Ejercer las demás atribuciones que le confieran las leyes, reglamentos, ordenanzas y disposiciones administrativas vigentes</w:t>
      </w:r>
      <w:r w:rsidRPr="00EC663B">
        <w:rPr>
          <w:rFonts w:ascii="Bookman Old Style" w:hAnsi="Bookman Old Style"/>
          <w:b/>
          <w:lang w:val="es-MX"/>
        </w:rPr>
        <w:t>.</w:t>
      </w:r>
    </w:p>
    <w:p w14:paraId="21C10D45" w14:textId="77777777" w:rsidR="00F84C10" w:rsidRPr="00EC663B" w:rsidRDefault="00F84C10" w:rsidP="00F84C10">
      <w:pPr>
        <w:spacing w:line="360" w:lineRule="auto"/>
        <w:ind w:right="18"/>
        <w:jc w:val="both"/>
        <w:rPr>
          <w:rFonts w:ascii="Bookman Old Style" w:hAnsi="Bookman Old Style"/>
          <w:sz w:val="24"/>
          <w:szCs w:val="24"/>
        </w:rPr>
      </w:pPr>
    </w:p>
    <w:p w14:paraId="4CBE45FB" w14:textId="21A9747F" w:rsidR="00F84C10" w:rsidRPr="00710EAF" w:rsidRDefault="00F84C10" w:rsidP="00710EAF">
      <w:pPr>
        <w:pStyle w:val="Prrafodelista"/>
        <w:numPr>
          <w:ilvl w:val="0"/>
          <w:numId w:val="15"/>
        </w:numPr>
        <w:spacing w:line="360" w:lineRule="auto"/>
        <w:ind w:right="18"/>
        <w:jc w:val="both"/>
        <w:rPr>
          <w:rFonts w:ascii="Bookman Old Style" w:hAnsi="Bookman Old Style"/>
        </w:rPr>
      </w:pPr>
      <w:r w:rsidRPr="00710EAF">
        <w:rPr>
          <w:rFonts w:ascii="Bookman Old Style" w:hAnsi="Bookman Old Style"/>
        </w:rPr>
        <w:t>El Técnico de Gestión de Residuos Sólidos es el servidor municipal responsable del apoyo técnico, operativo y administrativo en la gestión integral de los residuos sólidos dentro de la jurisdicción cantonal, quien ejercerá sus atribuciones conforme a la Constitución de la República del Ecuador, el Código Orgánico de Organización Territorial, Autonomía y Descentralización, el Código Orgánico Administrativo, la normativa ambiental vigente y la presente ordenanza, sin perjuicio de otras que le sean legalmente asignadas.</w:t>
      </w:r>
    </w:p>
    <w:p w14:paraId="67F6F2B2" w14:textId="77777777" w:rsidR="00F84C10" w:rsidRPr="00EC663B" w:rsidRDefault="00F84C10" w:rsidP="00710EAF">
      <w:pPr>
        <w:spacing w:line="360" w:lineRule="auto"/>
        <w:ind w:left="360" w:right="18"/>
        <w:jc w:val="both"/>
        <w:rPr>
          <w:rFonts w:ascii="Bookman Old Style" w:hAnsi="Bookman Old Style"/>
          <w:sz w:val="24"/>
          <w:szCs w:val="24"/>
        </w:rPr>
      </w:pPr>
      <w:r w:rsidRPr="00EC663B">
        <w:rPr>
          <w:rFonts w:ascii="Bookman Old Style" w:hAnsi="Bookman Old Style"/>
          <w:sz w:val="24"/>
          <w:szCs w:val="24"/>
        </w:rPr>
        <w:lastRenderedPageBreak/>
        <w:t>Son atribuciones del Técnico de Gestión de Residuos Sólidos las siguientes:</w:t>
      </w:r>
    </w:p>
    <w:p w14:paraId="46F6D699" w14:textId="30471FC8"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Ejecutar, coordinar y supervisar las actividades relacionadas con la gestión integral de residuos sólidos, que comprende la generación, almacenamiento, barrido, recolección, transporte, tratamiento y disposición final, de conformidad con la Constitución de la República, el COOTAD, la normativa ambiental vigente y las ordenanzas municipales aplicables.</w:t>
      </w:r>
    </w:p>
    <w:p w14:paraId="0693856D" w14:textId="378744DD"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Aplicar y hacer cumplir las disposiciones contenidas en la ordenanza municipal de gestión integral de residuos sólidos, en el ámbito técnico-operativo, asegurando su correcta implementación.</w:t>
      </w:r>
    </w:p>
    <w:p w14:paraId="647251E8" w14:textId="733C406C"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Realizar inspecciones técnicas en áreas urbanas y rurales del cantón, a fin de verificar el adecuado manejo de los residuos sólidos, identificando incumplimientos, riesgos ambientales y afectaciones a la salud pública.</w:t>
      </w:r>
    </w:p>
    <w:p w14:paraId="10BD0AAD" w14:textId="306D9C54"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Elaborar informes técnicos, actas, registros fotográficos, levantamientos de información y demás documentos técnicos necesarios para sustentar acciones administrativas, correctivas o sancionatorias.</w:t>
      </w:r>
    </w:p>
    <w:p w14:paraId="3F4F36B6" w14:textId="7CF2E1AE"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Proponer medidas técnicas de prevención, mitigación y corrección frente a prácticas inadecuadas en la gestión de residuos sólidos, en concordancia con los principios de prevención, responsabilidad ambiental y desarrollo sostenible.</w:t>
      </w:r>
    </w:p>
    <w:p w14:paraId="5CF2AFDE" w14:textId="1C1A1C01"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Ejecutar operativos de control técnico en coordinación con el Comisario Ambiental, personal municipal competente y otras entidades de control, dentro del marco de sus atribuciones.</w:t>
      </w:r>
    </w:p>
    <w:p w14:paraId="43364A77" w14:textId="14D38263" w:rsidR="00EC663B" w:rsidRPr="00EC663B" w:rsidRDefault="00EC663B"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Detectar e informar situaciones de manejo irregular en las que residuos especiales y/o peligrosos sean dispuestos junto con los residuos sólidos domésticos.</w:t>
      </w:r>
    </w:p>
    <w:p w14:paraId="54029A7C" w14:textId="7C1816F9"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lastRenderedPageBreak/>
        <w:t>Levantar actas técnicas de constatación de hechos, que constituyan insumo probatorio para el ejercicio de la potestad sancionadora municipal.</w:t>
      </w:r>
    </w:p>
    <w:p w14:paraId="52296EC8"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Brindar apoyo técnico al Comisario Ambiental en los procesos de control, verificación y seguimiento de infracciones ambientales vinculadas a residuos sólidos.</w:t>
      </w:r>
    </w:p>
    <w:p w14:paraId="39566B73"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Ejercer la fase instructora en los procedimientos administrativos sancionadores relacionados con la gestión integral de residuos sólidos, de conformidad con el Código Orgánico Administrativo (COA), la ordenanza municipal vigente y la delegación correspondiente.</w:t>
      </w:r>
    </w:p>
    <w:p w14:paraId="254B4289"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La elaboración del informe técnico motivado.</w:t>
      </w:r>
    </w:p>
    <w:p w14:paraId="4E92E41D"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La identificación clara de los hechos constitutivos de presunta infracción.</w:t>
      </w:r>
    </w:p>
    <w:p w14:paraId="516EF0F3"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La determinación de la normativa presuntamente vulnerada.</w:t>
      </w:r>
    </w:p>
    <w:p w14:paraId="637FDCAB"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Practicar y disponer la recopilación de pruebas técnicas, documentales y testimoniales necesarias para el esclarecimiento de los hechos, garantizando el debido proceso y el derecho a la defensa.</w:t>
      </w:r>
    </w:p>
    <w:p w14:paraId="7395BC86"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Elaborar los informes de instrucción, conclusiones técnicas y recomendaciones, los cuales servirán de sustento para que el Comisario Ambiental, en su calidad de autoridad competente, emita la resolución administrativa correspondiente.</w:t>
      </w:r>
    </w:p>
    <w:p w14:paraId="721FEA27"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Notificar, cuando corresponda y conforme a la normativa aplicable, las actuaciones propias de la fase instructora, sin invadir las competencias resolutivas del Comisario Ambiental.</w:t>
      </w:r>
    </w:p>
    <w:p w14:paraId="6FF0D9AD"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Coordinar acciones técnicas con otras dependencias municipales, tales como planificación, obras públicas, tránsito, rentas y participación ciudadana, para una gestión integral y eficiente de los residuos sólidos.</w:t>
      </w:r>
    </w:p>
    <w:p w14:paraId="54FBEBF5" w14:textId="77777777" w:rsidR="00F84C10"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t>Apoyar técnicamente en la elaboración, reforma o actualización de ordenanzas, reglamentos, instructivos y planes relacionados con la gestión de residuos sólidos.</w:t>
      </w:r>
    </w:p>
    <w:p w14:paraId="0A90AB71" w14:textId="77777777" w:rsidR="00EC663B" w:rsidRPr="00EC663B" w:rsidRDefault="00F84C10" w:rsidP="00F84C10">
      <w:pPr>
        <w:pStyle w:val="Prrafodelista"/>
        <w:numPr>
          <w:ilvl w:val="0"/>
          <w:numId w:val="14"/>
        </w:numPr>
        <w:spacing w:line="360" w:lineRule="auto"/>
        <w:ind w:left="567" w:right="18"/>
        <w:jc w:val="both"/>
        <w:rPr>
          <w:rFonts w:ascii="Bookman Old Style" w:hAnsi="Bookman Old Style"/>
        </w:rPr>
      </w:pPr>
      <w:r w:rsidRPr="00EC663B">
        <w:rPr>
          <w:rFonts w:ascii="Bookman Old Style" w:hAnsi="Bookman Old Style"/>
        </w:rPr>
        <w:lastRenderedPageBreak/>
        <w:t>Participar en procesos de capacitación, educación y sensibilización ambiental dirigidos a la ciudadanía, instituciones y sectores productivos, en coordinación con el Comisario Ambiental.</w:t>
      </w:r>
    </w:p>
    <w:p w14:paraId="290DF337" w14:textId="77777777" w:rsidR="00710EAF" w:rsidRDefault="00710EAF" w:rsidP="00B41EFC">
      <w:pPr>
        <w:spacing w:after="0" w:line="360" w:lineRule="auto"/>
        <w:ind w:left="-5" w:right="18"/>
        <w:jc w:val="both"/>
        <w:rPr>
          <w:rFonts w:ascii="Bookman Old Style" w:hAnsi="Bookman Old Style"/>
          <w:b/>
          <w:sz w:val="24"/>
          <w:szCs w:val="24"/>
          <w:lang w:val="es-MX"/>
        </w:rPr>
      </w:pPr>
    </w:p>
    <w:p w14:paraId="7591887F" w14:textId="26BF765B" w:rsidR="00B372D0" w:rsidRPr="00EC663B" w:rsidRDefault="00B372D0" w:rsidP="00B41EFC">
      <w:pPr>
        <w:spacing w:after="0" w:line="360" w:lineRule="auto"/>
        <w:ind w:left="-5" w:right="18"/>
        <w:jc w:val="both"/>
        <w:rPr>
          <w:rFonts w:ascii="Bookman Old Style" w:hAnsi="Bookman Old Style"/>
          <w:b/>
          <w:sz w:val="24"/>
          <w:szCs w:val="24"/>
          <w:lang w:val="es-MX"/>
        </w:rPr>
      </w:pPr>
      <w:r w:rsidRPr="00EC663B">
        <w:rPr>
          <w:rFonts w:ascii="Bookman Old Style" w:hAnsi="Bookman Old Style"/>
          <w:b/>
          <w:sz w:val="24"/>
          <w:szCs w:val="24"/>
          <w:lang w:val="es-MX"/>
        </w:rPr>
        <w:t>A</w:t>
      </w:r>
      <w:r w:rsidR="00710EAF">
        <w:rPr>
          <w:rFonts w:ascii="Bookman Old Style" w:hAnsi="Bookman Old Style"/>
          <w:b/>
          <w:sz w:val="24"/>
          <w:szCs w:val="24"/>
          <w:lang w:val="es-MX"/>
        </w:rPr>
        <w:t>rtí</w:t>
      </w:r>
      <w:r w:rsidR="00710EAF" w:rsidRPr="00EC663B">
        <w:rPr>
          <w:rFonts w:ascii="Bookman Old Style" w:hAnsi="Bookman Old Style"/>
          <w:b/>
          <w:sz w:val="24"/>
          <w:szCs w:val="24"/>
          <w:lang w:val="es-MX"/>
        </w:rPr>
        <w:t>culo</w:t>
      </w:r>
      <w:r w:rsidRPr="00EC663B">
        <w:rPr>
          <w:rFonts w:ascii="Bookman Old Style" w:hAnsi="Bookman Old Style"/>
          <w:b/>
          <w:sz w:val="24"/>
          <w:szCs w:val="24"/>
          <w:lang w:val="es-MX"/>
        </w:rPr>
        <w:t xml:space="preserve"> 3.- AGREGUESE A CONTINUACIÓN DEL PRIMER PÁRRAFO DEL ARTÍCULO 62.- </w:t>
      </w:r>
      <w:r w:rsidRPr="00EC663B">
        <w:rPr>
          <w:rFonts w:ascii="Bookman Old Style" w:hAnsi="Bookman Old Style"/>
          <w:sz w:val="24"/>
          <w:szCs w:val="24"/>
          <w:lang w:val="es-MX"/>
        </w:rPr>
        <w:t>El Comisario Ambiental delegará al Técnico de Residuos Sólidos de la Dirección de Gestión Ambiental del Gobierno Autónomo Descentralizado del Cantón Guaranda</w:t>
      </w:r>
      <w:r w:rsidR="003D36C9" w:rsidRPr="003D36C9">
        <w:rPr>
          <w:rFonts w:ascii="Bookman Old Style" w:hAnsi="Bookman Old Style"/>
          <w:color w:val="EE0000"/>
          <w:sz w:val="24"/>
          <w:szCs w:val="24"/>
          <w:lang w:val="es-MX"/>
        </w:rPr>
        <w:t xml:space="preserve"> y</w:t>
      </w:r>
      <w:r w:rsidRPr="00EC663B">
        <w:rPr>
          <w:rFonts w:ascii="Bookman Old Style" w:hAnsi="Bookman Old Style"/>
          <w:sz w:val="24"/>
          <w:szCs w:val="24"/>
          <w:lang w:val="es-MX"/>
        </w:rPr>
        <w:t xml:space="preserve"> será el responsable de realizar el informe técnico correspondiente, previo a la aplicación de medidas administrativas, correctivas o sancionatorias relacionadas con la gestión integral de residuos sólidos.</w:t>
      </w:r>
    </w:p>
    <w:p w14:paraId="6B2E6C24"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Para el efecto, el procedimiento será el siguiente:</w:t>
      </w:r>
    </w:p>
    <w:p w14:paraId="6EF79298" w14:textId="77777777" w:rsidR="00B372D0" w:rsidRPr="00EC663B" w:rsidRDefault="00B372D0" w:rsidP="00B41EFC">
      <w:pPr>
        <w:pStyle w:val="Prrafodelista"/>
        <w:numPr>
          <w:ilvl w:val="0"/>
          <w:numId w:val="4"/>
        </w:numPr>
        <w:spacing w:line="360" w:lineRule="auto"/>
        <w:ind w:right="18"/>
        <w:jc w:val="both"/>
        <w:rPr>
          <w:rFonts w:ascii="Bookman Old Style" w:hAnsi="Bookman Old Style"/>
          <w:lang w:val="es-MX"/>
        </w:rPr>
      </w:pPr>
      <w:r w:rsidRPr="00EC663B">
        <w:rPr>
          <w:rFonts w:ascii="Bookman Old Style" w:hAnsi="Bookman Old Style"/>
          <w:lang w:val="es-MX"/>
        </w:rPr>
        <w:t>Verificación en territorio</w:t>
      </w:r>
    </w:p>
    <w:p w14:paraId="2ABFB241" w14:textId="77777777" w:rsidR="00B372D0" w:rsidRPr="00EC663B" w:rsidRDefault="00B372D0" w:rsidP="00B41EFC">
      <w:pPr>
        <w:pStyle w:val="Prrafodelista"/>
        <w:numPr>
          <w:ilvl w:val="0"/>
          <w:numId w:val="4"/>
        </w:numPr>
        <w:spacing w:line="360" w:lineRule="auto"/>
        <w:ind w:right="18"/>
        <w:jc w:val="both"/>
        <w:rPr>
          <w:rFonts w:ascii="Bookman Old Style" w:hAnsi="Bookman Old Style"/>
          <w:lang w:val="es-MX"/>
        </w:rPr>
      </w:pPr>
      <w:r w:rsidRPr="00EC663B">
        <w:rPr>
          <w:rFonts w:ascii="Bookman Old Style" w:hAnsi="Bookman Old Style"/>
          <w:lang w:val="es-MX"/>
        </w:rPr>
        <w:t>Levantamiento de información</w:t>
      </w:r>
    </w:p>
    <w:p w14:paraId="172623C9" w14:textId="7ED69B84" w:rsidR="00B372D0" w:rsidRPr="00EC663B" w:rsidRDefault="00B372D0" w:rsidP="00B41EFC">
      <w:pPr>
        <w:pStyle w:val="Prrafodelista"/>
        <w:numPr>
          <w:ilvl w:val="0"/>
          <w:numId w:val="4"/>
        </w:numPr>
        <w:spacing w:line="360" w:lineRule="auto"/>
        <w:ind w:right="18"/>
        <w:jc w:val="both"/>
        <w:rPr>
          <w:rFonts w:ascii="Bookman Old Style" w:hAnsi="Bookman Old Style"/>
          <w:lang w:val="es-MX"/>
        </w:rPr>
      </w:pPr>
      <w:r w:rsidRPr="00EC663B">
        <w:rPr>
          <w:rFonts w:ascii="Bookman Old Style" w:hAnsi="Bookman Old Style"/>
          <w:lang w:val="es-MX"/>
        </w:rPr>
        <w:t>Análisis técnico y normativo</w:t>
      </w:r>
      <w:r w:rsidR="003D36C9">
        <w:rPr>
          <w:rFonts w:ascii="Bookman Old Style" w:hAnsi="Bookman Old Style"/>
          <w:lang w:val="es-MX"/>
        </w:rPr>
        <w:t xml:space="preserve"> </w:t>
      </w:r>
    </w:p>
    <w:p w14:paraId="2D378407" w14:textId="77777777" w:rsidR="00B372D0" w:rsidRPr="00EC663B" w:rsidRDefault="00B372D0" w:rsidP="00B41EFC">
      <w:pPr>
        <w:pStyle w:val="Prrafodelista"/>
        <w:numPr>
          <w:ilvl w:val="0"/>
          <w:numId w:val="4"/>
        </w:numPr>
        <w:spacing w:line="360" w:lineRule="auto"/>
        <w:ind w:right="18"/>
        <w:jc w:val="both"/>
        <w:rPr>
          <w:rFonts w:ascii="Bookman Old Style" w:hAnsi="Bookman Old Style"/>
          <w:lang w:val="es-MX"/>
        </w:rPr>
      </w:pPr>
      <w:r w:rsidRPr="00EC663B">
        <w:rPr>
          <w:rFonts w:ascii="Bookman Old Style" w:hAnsi="Bookman Old Style"/>
          <w:lang w:val="es-MX"/>
        </w:rPr>
        <w:t>Emisión del informe técnico</w:t>
      </w:r>
    </w:p>
    <w:p w14:paraId="45D0C840" w14:textId="77777777" w:rsidR="00B372D0" w:rsidRPr="00EC663B" w:rsidRDefault="00B372D0" w:rsidP="00B41EFC">
      <w:pPr>
        <w:pStyle w:val="Prrafodelista"/>
        <w:numPr>
          <w:ilvl w:val="0"/>
          <w:numId w:val="4"/>
        </w:numPr>
        <w:spacing w:line="360" w:lineRule="auto"/>
        <w:ind w:right="18"/>
        <w:jc w:val="both"/>
        <w:rPr>
          <w:rFonts w:ascii="Bookman Old Style" w:hAnsi="Bookman Old Style"/>
          <w:lang w:val="es-MX"/>
        </w:rPr>
      </w:pPr>
      <w:r w:rsidRPr="00EC663B">
        <w:rPr>
          <w:rFonts w:ascii="Bookman Old Style" w:hAnsi="Bookman Old Style"/>
          <w:lang w:val="es-MX"/>
        </w:rPr>
        <w:t>Remisión del informe.</w:t>
      </w:r>
    </w:p>
    <w:p w14:paraId="56803E85"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10EB4F5C" w14:textId="28932FB0" w:rsidR="00B372D0" w:rsidRPr="00EC663B" w:rsidRDefault="00235E26" w:rsidP="00B41EFC">
      <w:pPr>
        <w:spacing w:after="0" w:line="360" w:lineRule="auto"/>
        <w:ind w:left="-5" w:right="18"/>
        <w:jc w:val="both"/>
        <w:rPr>
          <w:rFonts w:ascii="Bookman Old Style" w:eastAsia="Times New Roman" w:hAnsi="Bookman Old Style" w:cs="Times New Roman"/>
          <w:sz w:val="24"/>
          <w:szCs w:val="24"/>
          <w:lang w:val="es-MX"/>
        </w:rPr>
      </w:pPr>
      <w:r w:rsidRPr="00EC663B">
        <w:rPr>
          <w:rFonts w:ascii="Bookman Old Style" w:eastAsia="Times New Roman" w:hAnsi="Bookman Old Style" w:cs="Times New Roman"/>
          <w:b/>
          <w:sz w:val="24"/>
          <w:szCs w:val="24"/>
          <w:lang w:val="es-MX"/>
        </w:rPr>
        <w:t>Artículo 4.-</w:t>
      </w:r>
      <w:r w:rsidRPr="00EC663B">
        <w:rPr>
          <w:rFonts w:ascii="Bookman Old Style" w:eastAsia="Times New Roman" w:hAnsi="Bookman Old Style" w:cs="Times New Roman"/>
          <w:sz w:val="24"/>
          <w:szCs w:val="24"/>
          <w:lang w:val="es-MX"/>
        </w:rPr>
        <w:t xml:space="preserve"> reemplace los porcentajes sancionatorios y suprimir en el artículo 75 por: </w:t>
      </w:r>
    </w:p>
    <w:p w14:paraId="2E502423" w14:textId="77777777" w:rsidR="00B372D0" w:rsidRPr="00EC663B" w:rsidRDefault="00B372D0" w:rsidP="00B41EFC">
      <w:pPr>
        <w:pStyle w:val="Prrafodelista"/>
        <w:numPr>
          <w:ilvl w:val="0"/>
          <w:numId w:val="5"/>
        </w:numPr>
        <w:spacing w:line="360" w:lineRule="auto"/>
        <w:ind w:right="18"/>
        <w:jc w:val="both"/>
        <w:rPr>
          <w:rFonts w:ascii="Bookman Old Style" w:hAnsi="Bookman Old Style"/>
          <w:lang w:val="es-MX"/>
        </w:rPr>
      </w:pPr>
      <w:r w:rsidRPr="00EC663B">
        <w:rPr>
          <w:rFonts w:ascii="Bookman Old Style" w:hAnsi="Bookman Old Style"/>
          <w:lang w:val="es-MX"/>
        </w:rPr>
        <w:t>Infracciones Leves con el 15% del Salario Básico Unificado</w:t>
      </w:r>
    </w:p>
    <w:p w14:paraId="53871088" w14:textId="77777777" w:rsidR="00B372D0" w:rsidRPr="00EC663B" w:rsidRDefault="00B372D0" w:rsidP="00B41EFC">
      <w:pPr>
        <w:pStyle w:val="Prrafodelista"/>
        <w:numPr>
          <w:ilvl w:val="0"/>
          <w:numId w:val="5"/>
        </w:numPr>
        <w:spacing w:line="360" w:lineRule="auto"/>
        <w:ind w:right="18"/>
        <w:jc w:val="both"/>
        <w:rPr>
          <w:rFonts w:ascii="Bookman Old Style" w:hAnsi="Bookman Old Style"/>
          <w:lang w:val="es-MX"/>
        </w:rPr>
      </w:pPr>
      <w:r w:rsidRPr="00EC663B">
        <w:rPr>
          <w:rFonts w:ascii="Bookman Old Style" w:hAnsi="Bookman Old Style"/>
          <w:lang w:val="es-MX"/>
        </w:rPr>
        <w:t>Infracciones Graves con el 30% del Salario Básico Unificado</w:t>
      </w:r>
    </w:p>
    <w:p w14:paraId="7F92059F" w14:textId="77777777" w:rsidR="00B372D0" w:rsidRPr="00EC663B" w:rsidRDefault="00B372D0" w:rsidP="00B41EFC">
      <w:pPr>
        <w:pStyle w:val="Prrafodelista"/>
        <w:numPr>
          <w:ilvl w:val="0"/>
          <w:numId w:val="5"/>
        </w:numPr>
        <w:spacing w:line="360" w:lineRule="auto"/>
        <w:ind w:right="18"/>
        <w:jc w:val="both"/>
        <w:rPr>
          <w:rFonts w:ascii="Bookman Old Style" w:hAnsi="Bookman Old Style"/>
          <w:lang w:val="es-MX"/>
        </w:rPr>
      </w:pPr>
      <w:r w:rsidRPr="00EC663B">
        <w:rPr>
          <w:rFonts w:ascii="Bookman Old Style" w:hAnsi="Bookman Old Style"/>
          <w:lang w:val="es-MX"/>
        </w:rPr>
        <w:t>Infracciones Muy Graves con el 45% del Salario Básico Unificado</w:t>
      </w:r>
    </w:p>
    <w:p w14:paraId="1FEEAB43" w14:textId="77777777" w:rsidR="00B372D0" w:rsidRPr="00EC663B" w:rsidRDefault="00B372D0" w:rsidP="00B41EFC">
      <w:pPr>
        <w:spacing w:after="0" w:line="360" w:lineRule="auto"/>
        <w:ind w:right="18"/>
        <w:jc w:val="both"/>
        <w:rPr>
          <w:rFonts w:ascii="Bookman Old Style" w:eastAsia="Times New Roman" w:hAnsi="Bookman Old Style" w:cs="Times New Roman"/>
          <w:sz w:val="24"/>
          <w:szCs w:val="24"/>
          <w:lang w:val="es-MX"/>
        </w:rPr>
      </w:pPr>
    </w:p>
    <w:p w14:paraId="222CDE9E" w14:textId="04626611" w:rsidR="00B372D0" w:rsidRPr="00EC663B" w:rsidRDefault="00B372D0" w:rsidP="00B41EFC">
      <w:pPr>
        <w:spacing w:after="0" w:line="360" w:lineRule="auto"/>
        <w:ind w:right="18"/>
        <w:jc w:val="both"/>
        <w:rPr>
          <w:rFonts w:ascii="Bookman Old Style" w:eastAsia="Times New Roman" w:hAnsi="Bookman Old Style" w:cs="Times New Roman"/>
          <w:sz w:val="24"/>
          <w:szCs w:val="24"/>
          <w:lang w:val="es-MX"/>
        </w:rPr>
      </w:pPr>
      <w:r w:rsidRPr="00EC663B">
        <w:rPr>
          <w:rFonts w:ascii="Bookman Old Style" w:eastAsia="Times New Roman" w:hAnsi="Bookman Old Style" w:cs="Times New Roman"/>
          <w:sz w:val="24"/>
          <w:szCs w:val="24"/>
          <w:lang w:val="es-MX"/>
        </w:rPr>
        <w:t>Adicional elimínese lo siguiente “un día de trabajo comunitario”</w:t>
      </w:r>
      <w:r w:rsidR="00120557" w:rsidRPr="00EC663B">
        <w:rPr>
          <w:rFonts w:ascii="Bookman Old Style" w:eastAsia="Times New Roman" w:hAnsi="Bookman Old Style" w:cs="Times New Roman"/>
          <w:sz w:val="24"/>
          <w:szCs w:val="24"/>
          <w:lang w:val="es-MX"/>
        </w:rPr>
        <w:t>.</w:t>
      </w:r>
    </w:p>
    <w:p w14:paraId="4DF23CDE" w14:textId="77777777" w:rsidR="002A6D61" w:rsidRPr="00EC663B" w:rsidRDefault="002A6D61" w:rsidP="00B41EFC">
      <w:pPr>
        <w:spacing w:after="0" w:line="360" w:lineRule="auto"/>
        <w:ind w:right="18"/>
        <w:jc w:val="both"/>
        <w:rPr>
          <w:rFonts w:ascii="Bookman Old Style" w:eastAsia="Times New Roman" w:hAnsi="Bookman Old Style" w:cs="Times New Roman"/>
          <w:sz w:val="24"/>
          <w:szCs w:val="24"/>
          <w:lang w:val="es-MX"/>
        </w:rPr>
      </w:pPr>
    </w:p>
    <w:p w14:paraId="162E2C33" w14:textId="47C7E2EE" w:rsidR="002A6D61" w:rsidRPr="00EC663B" w:rsidRDefault="00B372D0" w:rsidP="00B41EFC">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Art</w:t>
      </w:r>
      <w:r w:rsidR="00710EAF">
        <w:rPr>
          <w:rFonts w:ascii="Bookman Old Style" w:hAnsi="Bookman Old Style"/>
          <w:b/>
          <w:sz w:val="24"/>
          <w:szCs w:val="24"/>
          <w:lang w:val="es-MX"/>
        </w:rPr>
        <w:t>í</w:t>
      </w:r>
      <w:r w:rsidRPr="00EC663B">
        <w:rPr>
          <w:rFonts w:ascii="Bookman Old Style" w:hAnsi="Bookman Old Style"/>
          <w:b/>
          <w:sz w:val="24"/>
          <w:szCs w:val="24"/>
          <w:lang w:val="es-MX"/>
        </w:rPr>
        <w:t xml:space="preserve">culo 5.- </w:t>
      </w:r>
      <w:r w:rsidRPr="00EC663B">
        <w:rPr>
          <w:rFonts w:ascii="Bookman Old Style" w:hAnsi="Bookman Old Style"/>
          <w:sz w:val="24"/>
          <w:szCs w:val="24"/>
          <w:lang w:val="es-MX"/>
        </w:rPr>
        <w:t>Realizar cambios en el</w:t>
      </w:r>
      <w:r w:rsidRPr="00EC663B">
        <w:rPr>
          <w:rFonts w:ascii="Bookman Old Style" w:hAnsi="Bookman Old Style"/>
          <w:b/>
          <w:sz w:val="24"/>
          <w:szCs w:val="24"/>
          <w:lang w:val="es-MX"/>
        </w:rPr>
        <w:t xml:space="preserve"> CAPÍTULO IV DE LAS TASA</w:t>
      </w:r>
      <w:r w:rsidR="002A6D61" w:rsidRPr="00EC663B">
        <w:rPr>
          <w:rFonts w:ascii="Bookman Old Style" w:hAnsi="Bookman Old Style"/>
          <w:b/>
          <w:sz w:val="24"/>
          <w:szCs w:val="24"/>
          <w:lang w:val="es-MX"/>
        </w:rPr>
        <w:t>S</w:t>
      </w:r>
      <w:r w:rsidRPr="00EC663B">
        <w:rPr>
          <w:rFonts w:ascii="Bookman Old Style" w:hAnsi="Bookman Old Style"/>
          <w:b/>
          <w:sz w:val="24"/>
          <w:szCs w:val="24"/>
          <w:lang w:val="es-MX"/>
        </w:rPr>
        <w:t xml:space="preserve"> Y COBROS </w:t>
      </w:r>
      <w:r w:rsidRPr="00EC663B">
        <w:rPr>
          <w:rFonts w:ascii="Bookman Old Style" w:hAnsi="Bookman Old Style"/>
          <w:sz w:val="24"/>
          <w:szCs w:val="24"/>
          <w:lang w:val="es-MX"/>
        </w:rPr>
        <w:t xml:space="preserve">desde el artículo </w:t>
      </w:r>
      <w:r w:rsidR="002A6D61" w:rsidRPr="00EC663B">
        <w:rPr>
          <w:rFonts w:ascii="Bookman Old Style" w:hAnsi="Bookman Old Style"/>
          <w:sz w:val="24"/>
          <w:szCs w:val="24"/>
          <w:lang w:val="es-MX"/>
        </w:rPr>
        <w:t>8</w:t>
      </w:r>
      <w:r w:rsidR="00A50634" w:rsidRPr="00EC663B">
        <w:rPr>
          <w:rFonts w:ascii="Bookman Old Style" w:hAnsi="Bookman Old Style"/>
          <w:sz w:val="24"/>
          <w:szCs w:val="24"/>
          <w:lang w:val="es-MX"/>
        </w:rPr>
        <w:t>1</w:t>
      </w:r>
      <w:r w:rsidR="002A6D61" w:rsidRPr="00EC663B">
        <w:rPr>
          <w:rFonts w:ascii="Bookman Old Style" w:hAnsi="Bookman Old Style"/>
          <w:sz w:val="24"/>
          <w:szCs w:val="24"/>
          <w:lang w:val="es-MX"/>
        </w:rPr>
        <w:t>.</w:t>
      </w:r>
    </w:p>
    <w:p w14:paraId="682C6CE8" w14:textId="161CE9B5" w:rsidR="00A50634" w:rsidRPr="00EC663B" w:rsidRDefault="00A50634" w:rsidP="00B41EFC">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Agréguese después del primer párrafo del Art. 81 el siguiente texto:</w:t>
      </w:r>
    </w:p>
    <w:p w14:paraId="39F595F6" w14:textId="77777777" w:rsidR="00A50634" w:rsidRPr="00EC663B" w:rsidRDefault="00A50634" w:rsidP="00B41EFC">
      <w:pPr>
        <w:spacing w:after="0" w:line="360" w:lineRule="auto"/>
        <w:jc w:val="both"/>
        <w:rPr>
          <w:rFonts w:ascii="Bookman Old Style" w:hAnsi="Bookman Old Style"/>
          <w:sz w:val="24"/>
          <w:szCs w:val="24"/>
          <w:lang w:val="es-MX"/>
        </w:rPr>
      </w:pPr>
    </w:p>
    <w:p w14:paraId="24081AE5" w14:textId="17DB75F3" w:rsidR="00A50634" w:rsidRPr="00EC663B" w:rsidRDefault="00A50634" w:rsidP="00B41EFC">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La aplicación de esta normativa es obligatoria dentro de la jurisdicción territorial del cantón Guaranda de acuerdo a las rutas de recolección </w:t>
      </w:r>
      <w:r w:rsidRPr="00EC663B">
        <w:rPr>
          <w:rFonts w:ascii="Bookman Old Style" w:hAnsi="Bookman Old Style"/>
          <w:sz w:val="24"/>
          <w:szCs w:val="24"/>
          <w:lang w:val="es-MX"/>
        </w:rPr>
        <w:lastRenderedPageBreak/>
        <w:t>establecidas por la Dirección de Gestión Ambiental del GADCG, rige para todas las personas naturales y jurídicas, públicas o privadas, comerciantes/emprendedoras, que generen, manejen, dispongan o se beneficien directa o indirectamente de los servicios municipales relacionados con la gestión integral de residuos sólidos, que comprenden, entre otros, la recolección, transporte, tratamiento y disposición final.</w:t>
      </w:r>
    </w:p>
    <w:p w14:paraId="594898FB" w14:textId="77777777" w:rsidR="00A50634" w:rsidRPr="00EC663B" w:rsidRDefault="00A50634" w:rsidP="00B41EFC">
      <w:pPr>
        <w:spacing w:after="0" w:line="360" w:lineRule="auto"/>
        <w:jc w:val="both"/>
        <w:rPr>
          <w:rFonts w:ascii="Bookman Old Style" w:hAnsi="Bookman Old Style"/>
          <w:sz w:val="24"/>
          <w:szCs w:val="24"/>
          <w:lang w:val="es-MX"/>
        </w:rPr>
      </w:pPr>
    </w:p>
    <w:p w14:paraId="755840C9" w14:textId="379A251E" w:rsidR="002A6D61" w:rsidRPr="00EC663B" w:rsidRDefault="002A6D61" w:rsidP="00B41EFC">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Reemplácese el artículo 83 por el siguiente:</w:t>
      </w:r>
    </w:p>
    <w:p w14:paraId="2F8EB8A8" w14:textId="77777777" w:rsidR="002A6D61" w:rsidRPr="00EC663B" w:rsidRDefault="002A6D61" w:rsidP="00B41EFC">
      <w:pPr>
        <w:spacing w:after="0" w:line="360" w:lineRule="auto"/>
        <w:jc w:val="both"/>
        <w:rPr>
          <w:rFonts w:ascii="Bookman Old Style" w:hAnsi="Bookman Old Style"/>
          <w:sz w:val="24"/>
          <w:szCs w:val="24"/>
          <w:lang w:val="es-MX"/>
        </w:rPr>
      </w:pPr>
    </w:p>
    <w:p w14:paraId="231D56DD" w14:textId="6718334E" w:rsidR="002A6D61" w:rsidRPr="00EC663B" w:rsidRDefault="00A50634" w:rsidP="002A6D61">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 xml:space="preserve">Art. 83 </w:t>
      </w:r>
      <w:r w:rsidR="002A6D61" w:rsidRPr="00EC663B">
        <w:rPr>
          <w:rFonts w:ascii="Bookman Old Style" w:hAnsi="Bookman Old Style"/>
          <w:b/>
          <w:sz w:val="24"/>
          <w:szCs w:val="24"/>
          <w:lang w:val="es-MX"/>
        </w:rPr>
        <w:t xml:space="preserve">Hecho generador de la obligación tributaria. </w:t>
      </w:r>
      <w:r w:rsidR="002A6D61" w:rsidRPr="00EC663B">
        <w:rPr>
          <w:rFonts w:ascii="Bookman Old Style" w:hAnsi="Bookman Old Style"/>
          <w:sz w:val="24"/>
          <w:szCs w:val="24"/>
          <w:lang w:val="es-MX"/>
        </w:rPr>
        <w:t>El hecho generador de la obligación de pago de la tasa por los servicios de recolección, transporte, tratamiento y disposición final de residuos sólidos se configura por la prestación efectiva o la disponibilidad real y permanente de dichos servicios municipales a favor de los bienes inmuebles registrados en el catastro municipal, ubicados de acuerdo con las rutas de recolección establecidas por la Dirección de Gestión Ambiental del GAD</w:t>
      </w:r>
      <w:r w:rsidR="002A6D61" w:rsidRPr="00EC663B">
        <w:rPr>
          <w:rFonts w:ascii="Bookman Old Style" w:hAnsi="Bookman Old Style"/>
          <w:color w:val="FF0000"/>
          <w:sz w:val="24"/>
          <w:szCs w:val="24"/>
          <w:lang w:val="es-MX"/>
        </w:rPr>
        <w:t xml:space="preserve"> </w:t>
      </w:r>
      <w:r w:rsidR="002A6D61" w:rsidRPr="00EC663B">
        <w:rPr>
          <w:rFonts w:ascii="Bookman Old Style" w:hAnsi="Bookman Old Style"/>
          <w:sz w:val="24"/>
          <w:szCs w:val="24"/>
          <w:lang w:val="es-MX"/>
        </w:rPr>
        <w:t xml:space="preserve">del cantón Guaranda. </w:t>
      </w:r>
    </w:p>
    <w:p w14:paraId="12A6C697" w14:textId="24077262" w:rsidR="002A6D61" w:rsidRPr="00EC663B" w:rsidRDefault="002A6D61" w:rsidP="00B41EFC">
      <w:pPr>
        <w:spacing w:after="0" w:line="360" w:lineRule="auto"/>
        <w:jc w:val="both"/>
        <w:rPr>
          <w:rFonts w:ascii="Bookman Old Style" w:hAnsi="Bookman Old Style"/>
          <w:sz w:val="24"/>
          <w:szCs w:val="24"/>
          <w:lang w:val="es-MX"/>
        </w:rPr>
      </w:pPr>
    </w:p>
    <w:p w14:paraId="612F2AF4" w14:textId="18DED5D5" w:rsidR="002A6D61" w:rsidRPr="00EC663B" w:rsidRDefault="002A6D61" w:rsidP="002A6D61">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Reemplácese el artículo 8</w:t>
      </w:r>
      <w:r w:rsidR="00A50634" w:rsidRPr="00EC663B">
        <w:rPr>
          <w:rFonts w:ascii="Bookman Old Style" w:hAnsi="Bookman Old Style"/>
          <w:sz w:val="24"/>
          <w:szCs w:val="24"/>
          <w:lang w:val="es-MX"/>
        </w:rPr>
        <w:t>5</w:t>
      </w:r>
      <w:r w:rsidRPr="00EC663B">
        <w:rPr>
          <w:rFonts w:ascii="Bookman Old Style" w:hAnsi="Bookman Old Style"/>
          <w:sz w:val="24"/>
          <w:szCs w:val="24"/>
          <w:lang w:val="es-MX"/>
        </w:rPr>
        <w:t xml:space="preserve"> por el siguiente:</w:t>
      </w:r>
    </w:p>
    <w:p w14:paraId="60A7DA7E" w14:textId="22760178" w:rsidR="002A6D61" w:rsidRPr="00EC663B" w:rsidRDefault="002A6D61" w:rsidP="002A6D61">
      <w:pPr>
        <w:spacing w:after="0" w:line="360" w:lineRule="auto"/>
        <w:jc w:val="both"/>
        <w:rPr>
          <w:rFonts w:ascii="Bookman Old Style" w:hAnsi="Bookman Old Style"/>
          <w:sz w:val="24"/>
          <w:szCs w:val="24"/>
          <w:lang w:val="es-MX"/>
        </w:rPr>
      </w:pPr>
    </w:p>
    <w:p w14:paraId="74DFA32B" w14:textId="6F601842" w:rsidR="002A6D61" w:rsidRPr="00EC663B" w:rsidRDefault="00A50634" w:rsidP="002A6D61">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 xml:space="preserve">Art. 85.- </w:t>
      </w:r>
      <w:r w:rsidR="002A6D61" w:rsidRPr="00EC663B">
        <w:rPr>
          <w:rFonts w:ascii="Bookman Old Style" w:hAnsi="Bookman Old Style"/>
          <w:b/>
          <w:sz w:val="24"/>
          <w:szCs w:val="24"/>
          <w:lang w:val="es-MX"/>
        </w:rPr>
        <w:t>SUJETO PASIVO</w:t>
      </w:r>
      <w:r w:rsidR="002A6D61" w:rsidRPr="00EC663B">
        <w:rPr>
          <w:rFonts w:ascii="Bookman Old Style" w:hAnsi="Bookman Old Style"/>
          <w:sz w:val="24"/>
          <w:szCs w:val="24"/>
          <w:lang w:val="es-MX"/>
        </w:rPr>
        <w:t xml:space="preserve">. Son sujetos pasivos de la tasa por los servicios de recolección, transporte, tratamiento y disposición final de residuos sólidos todas las personas naturales o jurídicas, públicas o privadas, que sean propietarias, poseedoras, usufructuarias, arrendatarias u ocupantes de bienes inmuebles debidamente registrados en el catastro municipal, ubicados dentro del área urbana, cabeceras cantonales y zonas urbanas y rurales del cantón Guaranda, provincia de Bolívar.  </w:t>
      </w:r>
    </w:p>
    <w:p w14:paraId="42838D66" w14:textId="77777777" w:rsidR="002A6D61" w:rsidRPr="00EC663B" w:rsidRDefault="002A6D61" w:rsidP="002A6D61">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La obligación de pago de la tasa se genera por la prestación del servicio municipal, con independencia del uso, destino o actividad económica del inmueble, su clasificación catastral (residencial, comercial, institucional, industrial o especial), o del volumen de residuos generados. </w:t>
      </w:r>
    </w:p>
    <w:p w14:paraId="24232F70" w14:textId="7B9889E2" w:rsidR="002A6D61" w:rsidRPr="00EC663B" w:rsidRDefault="002A6D61" w:rsidP="002A6D61">
      <w:pPr>
        <w:spacing w:after="0" w:line="360" w:lineRule="auto"/>
        <w:jc w:val="both"/>
        <w:rPr>
          <w:rFonts w:ascii="Bookman Old Style" w:hAnsi="Bookman Old Style"/>
          <w:sz w:val="24"/>
          <w:szCs w:val="24"/>
          <w:lang w:val="es-MX"/>
        </w:rPr>
      </w:pPr>
    </w:p>
    <w:p w14:paraId="4BABBF29" w14:textId="77C4F04E" w:rsidR="00A50634" w:rsidRPr="00EC663B" w:rsidRDefault="00A50634" w:rsidP="00A50634">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Reemplácese el artículo 86 por el siguiente:</w:t>
      </w:r>
    </w:p>
    <w:p w14:paraId="25EE8D34" w14:textId="77777777" w:rsidR="00A50634" w:rsidRPr="00EC663B" w:rsidRDefault="00A50634" w:rsidP="002A6D61">
      <w:pPr>
        <w:spacing w:after="0" w:line="360" w:lineRule="auto"/>
        <w:jc w:val="both"/>
        <w:rPr>
          <w:rFonts w:ascii="Bookman Old Style" w:hAnsi="Bookman Old Style"/>
          <w:sz w:val="24"/>
          <w:szCs w:val="24"/>
          <w:lang w:val="es-MX"/>
        </w:rPr>
      </w:pPr>
    </w:p>
    <w:p w14:paraId="63B2243F" w14:textId="4C8B67D4" w:rsidR="00B372D0" w:rsidRPr="00EC663B" w:rsidRDefault="00B372D0" w:rsidP="00A50634">
      <w:pPr>
        <w:spacing w:after="0" w:line="360" w:lineRule="auto"/>
        <w:ind w:right="18"/>
        <w:jc w:val="both"/>
        <w:rPr>
          <w:rFonts w:ascii="Bookman Old Style" w:hAnsi="Bookman Old Style"/>
          <w:sz w:val="24"/>
          <w:szCs w:val="24"/>
          <w:lang w:val="es-MX"/>
        </w:rPr>
      </w:pPr>
      <w:r w:rsidRPr="00EC663B">
        <w:rPr>
          <w:rFonts w:ascii="Bookman Old Style" w:hAnsi="Bookman Old Style"/>
          <w:b/>
          <w:sz w:val="24"/>
          <w:szCs w:val="24"/>
          <w:lang w:val="es-MX"/>
        </w:rPr>
        <w:t>Art. 86.- Objetivo</w:t>
      </w:r>
      <w:r w:rsidRPr="00EC663B">
        <w:rPr>
          <w:rFonts w:ascii="Bookman Old Style" w:hAnsi="Bookman Old Style"/>
          <w:sz w:val="24"/>
          <w:szCs w:val="24"/>
          <w:lang w:val="es-MX"/>
        </w:rPr>
        <w:t xml:space="preserve">.- Constituye el ordenamiento jurídico aplicable a la tasa de recolección de los residuos sólidos, en estricto cumplimiento de la Constitución de la República, la legislación ambiental vigente, y demás normativa aplicable, con la finalidad de prevenir, mitigar y reducir los impactos ambientales, sociales y económicos, así como las posibles afectaciones a la salud pública de la ciudadanía, promoviendo de manera permanente el fortalecimiento de una cultura ambiental responsable en la población en general. </w:t>
      </w:r>
    </w:p>
    <w:p w14:paraId="1B1B1D90" w14:textId="77777777" w:rsidR="009A0A00" w:rsidRPr="00EC663B" w:rsidRDefault="009A0A00" w:rsidP="00A50634">
      <w:pPr>
        <w:spacing w:after="0" w:line="360" w:lineRule="auto"/>
        <w:ind w:right="18"/>
        <w:jc w:val="both"/>
        <w:rPr>
          <w:rFonts w:ascii="Bookman Old Style" w:hAnsi="Bookman Old Style"/>
          <w:sz w:val="24"/>
          <w:szCs w:val="24"/>
          <w:lang w:val="es-MX"/>
        </w:rPr>
      </w:pPr>
    </w:p>
    <w:p w14:paraId="300C883F" w14:textId="2F186DCF" w:rsidR="00A50634" w:rsidRPr="00EC663B" w:rsidRDefault="00A50634" w:rsidP="00A50634">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Reemplácese el artículo 87 por el siguiente:</w:t>
      </w:r>
    </w:p>
    <w:p w14:paraId="17764A49" w14:textId="77777777" w:rsidR="00A50634" w:rsidRPr="00EC663B" w:rsidRDefault="00A50634" w:rsidP="00A50634">
      <w:pPr>
        <w:spacing w:after="0" w:line="360" w:lineRule="auto"/>
        <w:ind w:right="18"/>
        <w:jc w:val="both"/>
        <w:rPr>
          <w:rFonts w:ascii="Bookman Old Style" w:hAnsi="Bookman Old Style"/>
          <w:sz w:val="24"/>
          <w:szCs w:val="24"/>
          <w:lang w:val="es-MX"/>
        </w:rPr>
      </w:pPr>
    </w:p>
    <w:p w14:paraId="268C97B5" w14:textId="4B2122FC"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 xml:space="preserve">Art. </w:t>
      </w:r>
      <w:r w:rsidR="00A50634" w:rsidRPr="00EC663B">
        <w:rPr>
          <w:rFonts w:ascii="Bookman Old Style" w:hAnsi="Bookman Old Style"/>
          <w:b/>
          <w:sz w:val="24"/>
          <w:szCs w:val="24"/>
          <w:lang w:val="es-MX"/>
        </w:rPr>
        <w:t>87</w:t>
      </w:r>
      <w:r w:rsidRPr="00EC663B">
        <w:rPr>
          <w:rFonts w:ascii="Bookman Old Style" w:hAnsi="Bookman Old Style"/>
          <w:b/>
          <w:sz w:val="24"/>
          <w:szCs w:val="24"/>
          <w:lang w:val="es-MX"/>
        </w:rPr>
        <w:t>.- Tarifa por el servicio de recolección de residuos sólidos</w:t>
      </w:r>
      <w:r w:rsidRPr="00EC663B">
        <w:rPr>
          <w:rFonts w:ascii="Bookman Old Style" w:hAnsi="Bookman Old Style"/>
          <w:sz w:val="24"/>
          <w:szCs w:val="24"/>
          <w:lang w:val="es-MX"/>
        </w:rPr>
        <w:t xml:space="preserve">. - Para el financiamiento de los servicios de recolección, transporte, tratamiento y disposición final de residuos sólidos, se establece la aplicación de una tarifa fija anual, de conformidad con la clasificación catastral del predio, conforme al siguiente detalle: </w:t>
      </w:r>
    </w:p>
    <w:p w14:paraId="618DBC15" w14:textId="77777777" w:rsidR="00B23CB3" w:rsidRPr="00EC663B" w:rsidRDefault="00B23CB3" w:rsidP="00B41EFC">
      <w:pPr>
        <w:spacing w:after="0" w:line="360" w:lineRule="auto"/>
        <w:ind w:left="-5" w:right="18"/>
        <w:jc w:val="both"/>
        <w:rPr>
          <w:rFonts w:ascii="Bookman Old Style" w:hAnsi="Bookman Old Style"/>
          <w:sz w:val="24"/>
          <w:szCs w:val="24"/>
          <w:lang w:val="es-MX"/>
        </w:rPr>
      </w:pPr>
    </w:p>
    <w:p w14:paraId="7AA4D02C" w14:textId="3DB3B5BF" w:rsidR="00B372D0" w:rsidRPr="00EC663B" w:rsidRDefault="00B372D0" w:rsidP="00B41EFC">
      <w:pPr>
        <w:numPr>
          <w:ilvl w:val="0"/>
          <w:numId w:val="1"/>
        </w:numPr>
        <w:spacing w:after="0" w:line="360" w:lineRule="auto"/>
        <w:ind w:right="21" w:hanging="331"/>
        <w:jc w:val="both"/>
        <w:rPr>
          <w:rFonts w:ascii="Bookman Old Style" w:hAnsi="Bookman Old Style"/>
          <w:sz w:val="24"/>
          <w:szCs w:val="24"/>
          <w:lang w:val="es-MX"/>
        </w:rPr>
      </w:pPr>
      <w:r w:rsidRPr="00EC663B">
        <w:rPr>
          <w:rFonts w:ascii="Bookman Old Style" w:hAnsi="Bookman Old Style"/>
          <w:b/>
          <w:sz w:val="24"/>
          <w:szCs w:val="24"/>
          <w:lang w:val="es-MX"/>
        </w:rPr>
        <w:t xml:space="preserve">Tarifa residencial: </w:t>
      </w:r>
      <w:r w:rsidRPr="00EC663B">
        <w:rPr>
          <w:rFonts w:ascii="Bookman Old Style" w:hAnsi="Bookman Old Style"/>
          <w:sz w:val="24"/>
          <w:szCs w:val="24"/>
          <w:lang w:val="es-MX"/>
        </w:rPr>
        <w:t>Se aplicará una tarifa fija anual de 10.00 USD (diez dólares de los Estados Unidos de América) por cada predio clasificado como residencial en el catastro municipal.</w:t>
      </w:r>
      <w:r w:rsidRPr="00EC663B">
        <w:rPr>
          <w:rFonts w:ascii="Bookman Old Style" w:hAnsi="Bookman Old Style"/>
          <w:b/>
          <w:sz w:val="24"/>
          <w:szCs w:val="24"/>
          <w:lang w:val="es-MX"/>
        </w:rPr>
        <w:t xml:space="preserve"> </w:t>
      </w:r>
    </w:p>
    <w:p w14:paraId="517AF9A4" w14:textId="77777777" w:rsidR="00B23CB3" w:rsidRPr="00EC663B" w:rsidRDefault="00B23CB3" w:rsidP="00B41EFC">
      <w:pPr>
        <w:spacing w:after="0" w:line="360" w:lineRule="auto"/>
        <w:ind w:left="684" w:right="23"/>
        <w:jc w:val="both"/>
        <w:rPr>
          <w:rFonts w:ascii="Bookman Old Style" w:hAnsi="Bookman Old Style"/>
          <w:color w:val="FF0000"/>
          <w:sz w:val="24"/>
          <w:szCs w:val="24"/>
          <w:lang w:val="es-MX"/>
        </w:rPr>
      </w:pPr>
    </w:p>
    <w:p w14:paraId="1FD31006" w14:textId="15755643" w:rsidR="00B372D0" w:rsidRPr="00EC663B" w:rsidRDefault="00B372D0" w:rsidP="00B41EFC">
      <w:pPr>
        <w:numPr>
          <w:ilvl w:val="0"/>
          <w:numId w:val="1"/>
        </w:numPr>
        <w:spacing w:after="0" w:line="360" w:lineRule="auto"/>
        <w:ind w:right="23" w:hanging="331"/>
        <w:jc w:val="both"/>
        <w:rPr>
          <w:rFonts w:ascii="Bookman Old Style" w:hAnsi="Bookman Old Style"/>
          <w:color w:val="FF0000"/>
          <w:sz w:val="24"/>
          <w:szCs w:val="24"/>
          <w:lang w:val="es-MX"/>
        </w:rPr>
      </w:pPr>
      <w:r w:rsidRPr="00EC663B">
        <w:rPr>
          <w:rFonts w:ascii="Bookman Old Style" w:hAnsi="Bookman Old Style"/>
          <w:b/>
          <w:sz w:val="24"/>
          <w:szCs w:val="24"/>
          <w:lang w:val="es-MX"/>
        </w:rPr>
        <w:t xml:space="preserve">Tarifa comercial: </w:t>
      </w:r>
      <w:r w:rsidRPr="00EC663B">
        <w:rPr>
          <w:rFonts w:ascii="Bookman Old Style" w:hAnsi="Bookman Old Style"/>
          <w:sz w:val="24"/>
          <w:szCs w:val="24"/>
          <w:lang w:val="es-MX"/>
        </w:rPr>
        <w:t>Se aplicará una tarifa fija anual</w:t>
      </w:r>
      <w:r w:rsidR="00453AB8" w:rsidRPr="00EC663B">
        <w:rPr>
          <w:rFonts w:ascii="Bookman Old Style" w:hAnsi="Bookman Old Style"/>
          <w:sz w:val="24"/>
          <w:szCs w:val="24"/>
          <w:lang w:val="es-MX"/>
        </w:rPr>
        <w:t xml:space="preserve"> </w:t>
      </w:r>
      <w:r w:rsidRPr="00EC663B">
        <w:rPr>
          <w:rFonts w:ascii="Bookman Old Style" w:hAnsi="Bookman Old Style"/>
          <w:sz w:val="24"/>
          <w:szCs w:val="24"/>
          <w:lang w:val="es-MX"/>
        </w:rPr>
        <w:t>de 20.00 USD. (veinte dólares de</w:t>
      </w:r>
      <w:r w:rsidR="001C73E6" w:rsidRPr="00EC663B">
        <w:rPr>
          <w:rFonts w:ascii="Bookman Old Style" w:hAnsi="Bookman Old Style"/>
          <w:sz w:val="24"/>
          <w:szCs w:val="24"/>
          <w:lang w:val="es-MX"/>
        </w:rPr>
        <w:t xml:space="preserve"> los Estados Unidos de América) </w:t>
      </w:r>
      <w:r w:rsidRPr="00EC663B">
        <w:rPr>
          <w:rFonts w:ascii="Bookman Old Style" w:hAnsi="Bookman Old Style"/>
          <w:sz w:val="24"/>
          <w:szCs w:val="24"/>
          <w:lang w:val="es-MX"/>
        </w:rPr>
        <w:t xml:space="preserve">por cada </w:t>
      </w:r>
      <w:r w:rsidR="00015F4C" w:rsidRPr="00EC663B">
        <w:rPr>
          <w:rFonts w:ascii="Bookman Old Style" w:hAnsi="Bookman Old Style"/>
          <w:sz w:val="24"/>
          <w:szCs w:val="24"/>
          <w:lang w:val="es-MX"/>
        </w:rPr>
        <w:t>actividad</w:t>
      </w:r>
      <w:r w:rsidRPr="00EC663B">
        <w:rPr>
          <w:rFonts w:ascii="Bookman Old Style" w:hAnsi="Bookman Old Style"/>
          <w:sz w:val="24"/>
          <w:szCs w:val="24"/>
          <w:lang w:val="es-MX"/>
        </w:rPr>
        <w:t xml:space="preserve"> comercial </w:t>
      </w:r>
      <w:r w:rsidR="006674A1" w:rsidRPr="00EC663B">
        <w:rPr>
          <w:rFonts w:ascii="Bookman Old Style" w:hAnsi="Bookman Old Style"/>
          <w:sz w:val="24"/>
          <w:szCs w:val="24"/>
          <w:lang w:val="es-MX"/>
        </w:rPr>
        <w:t>de acuerdo al</w:t>
      </w:r>
      <w:r w:rsidRPr="00EC663B">
        <w:rPr>
          <w:rFonts w:ascii="Bookman Old Style" w:hAnsi="Bookman Old Style"/>
          <w:sz w:val="24"/>
          <w:szCs w:val="24"/>
          <w:lang w:val="es-MX"/>
        </w:rPr>
        <w:t xml:space="preserve"> catastro </w:t>
      </w:r>
      <w:r w:rsidR="00015F4C" w:rsidRPr="00EC663B">
        <w:rPr>
          <w:rFonts w:ascii="Bookman Old Style" w:hAnsi="Bookman Old Style"/>
          <w:sz w:val="24"/>
          <w:szCs w:val="24"/>
          <w:lang w:val="es-MX"/>
        </w:rPr>
        <w:t xml:space="preserve">de las patentes </w:t>
      </w:r>
      <w:r w:rsidRPr="00EC663B">
        <w:rPr>
          <w:rFonts w:ascii="Bookman Old Style" w:hAnsi="Bookman Old Style"/>
          <w:sz w:val="24"/>
          <w:szCs w:val="24"/>
          <w:lang w:val="es-MX"/>
        </w:rPr>
        <w:t>municipal</w:t>
      </w:r>
      <w:r w:rsidR="00015F4C" w:rsidRPr="00EC663B">
        <w:rPr>
          <w:rFonts w:ascii="Bookman Old Style" w:hAnsi="Bookman Old Style"/>
          <w:sz w:val="24"/>
          <w:szCs w:val="24"/>
          <w:lang w:val="es-MX"/>
        </w:rPr>
        <w:t>es</w:t>
      </w:r>
      <w:r w:rsidRPr="00EC663B">
        <w:rPr>
          <w:rFonts w:ascii="Bookman Old Style" w:hAnsi="Bookman Old Style"/>
          <w:sz w:val="24"/>
          <w:szCs w:val="24"/>
          <w:lang w:val="es-MX"/>
        </w:rPr>
        <w:t>.</w:t>
      </w:r>
      <w:r w:rsidRPr="00EC663B">
        <w:rPr>
          <w:rFonts w:ascii="Bookman Old Style" w:hAnsi="Bookman Old Style"/>
          <w:b/>
          <w:sz w:val="24"/>
          <w:szCs w:val="24"/>
          <w:lang w:val="es-MX"/>
        </w:rPr>
        <w:t xml:space="preserve"> </w:t>
      </w:r>
    </w:p>
    <w:p w14:paraId="39445EEC" w14:textId="77777777" w:rsidR="00D25897" w:rsidRPr="00EC663B" w:rsidRDefault="00D25897" w:rsidP="00B41EFC">
      <w:pPr>
        <w:spacing w:after="0" w:line="360" w:lineRule="auto"/>
        <w:ind w:left="-5" w:right="18"/>
        <w:jc w:val="both"/>
        <w:rPr>
          <w:rFonts w:ascii="Bookman Old Style" w:hAnsi="Bookman Old Style"/>
          <w:sz w:val="24"/>
          <w:szCs w:val="24"/>
          <w:lang w:val="es-MX"/>
        </w:rPr>
      </w:pPr>
    </w:p>
    <w:p w14:paraId="7F1A84ED" w14:textId="67120485"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Las tarifas establecidas en el presente artículo serán aplicables a todos los predios de acuerdo con las rutas de recolección establecidas por la Dirección de Gestión Ambiental del GADCG del cantón, que se </w:t>
      </w:r>
      <w:r w:rsidRPr="00EC663B">
        <w:rPr>
          <w:rFonts w:ascii="Bookman Old Style" w:hAnsi="Bookman Old Style"/>
          <w:sz w:val="24"/>
          <w:szCs w:val="24"/>
          <w:lang w:val="es-MX"/>
        </w:rPr>
        <w:lastRenderedPageBreak/>
        <w:t xml:space="preserve">encuentren dentro del área de cobertura del servicio municipal, sin perjuicio de la aplicación de tarifas diferenciadas para otros tipos de predios o actividades, conforme a lo dispuesto en la presente ordenanza. </w:t>
      </w:r>
    </w:p>
    <w:p w14:paraId="201B4F27" w14:textId="35367F51" w:rsidR="00B372D0" w:rsidRPr="00EC663B" w:rsidRDefault="00B372D0" w:rsidP="00EC663B">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 </w:t>
      </w:r>
      <w:r w:rsidRPr="00EC663B">
        <w:rPr>
          <w:rFonts w:ascii="Bookman Old Style" w:hAnsi="Bookman Old Style"/>
          <w:sz w:val="24"/>
          <w:szCs w:val="24"/>
        </w:rPr>
        <w:t>El</w:t>
      </w:r>
      <w:r w:rsidRPr="00EC663B">
        <w:rPr>
          <w:rFonts w:ascii="Bookman Old Style" w:hAnsi="Bookman Old Style"/>
          <w:sz w:val="24"/>
          <w:szCs w:val="24"/>
          <w:lang w:val="es-MX"/>
        </w:rPr>
        <w:t xml:space="preserve"> título de crédito correspondiente a esta tasa se emitirá de manera independiente a la patente municipal.</w:t>
      </w:r>
      <w:r w:rsidRPr="00EC663B">
        <w:rPr>
          <w:rFonts w:ascii="Bookman Old Style" w:hAnsi="Bookman Old Style"/>
          <w:sz w:val="24"/>
          <w:szCs w:val="24"/>
        </w:rPr>
        <w:t xml:space="preserve"> Y debe administrarse de forma claramente diferenciada.</w:t>
      </w:r>
    </w:p>
    <w:p w14:paraId="52B83F18" w14:textId="77777777" w:rsidR="00B372D0" w:rsidRPr="00EC663B" w:rsidRDefault="00B372D0" w:rsidP="00B41EFC">
      <w:pPr>
        <w:spacing w:after="0" w:line="360" w:lineRule="auto"/>
        <w:jc w:val="both"/>
        <w:rPr>
          <w:rFonts w:ascii="Bookman Old Style" w:hAnsi="Bookman Old Style"/>
          <w:sz w:val="24"/>
          <w:szCs w:val="24"/>
        </w:rPr>
      </w:pPr>
    </w:p>
    <w:p w14:paraId="44007515" w14:textId="4481D1AE" w:rsidR="009A0A00" w:rsidRPr="00EC663B" w:rsidRDefault="009A0A00" w:rsidP="00B41EFC">
      <w:pPr>
        <w:spacing w:after="0" w:line="360" w:lineRule="auto"/>
        <w:ind w:left="-5" w:right="18"/>
        <w:jc w:val="both"/>
        <w:rPr>
          <w:rFonts w:ascii="Bookman Old Style" w:hAnsi="Bookman Old Style"/>
          <w:bCs/>
          <w:sz w:val="24"/>
          <w:szCs w:val="24"/>
          <w:lang w:val="es-MX"/>
        </w:rPr>
      </w:pPr>
      <w:r w:rsidRPr="00EC663B">
        <w:rPr>
          <w:rFonts w:ascii="Bookman Old Style" w:hAnsi="Bookman Old Style"/>
          <w:bCs/>
          <w:sz w:val="24"/>
          <w:szCs w:val="24"/>
          <w:lang w:val="es-MX"/>
        </w:rPr>
        <w:t xml:space="preserve">Agréguese después del articulo 88 el </w:t>
      </w:r>
      <w:r w:rsidR="002A5DDA" w:rsidRPr="00EC663B">
        <w:rPr>
          <w:rFonts w:ascii="Bookman Old Style" w:hAnsi="Bookman Old Style"/>
          <w:bCs/>
          <w:sz w:val="24"/>
          <w:szCs w:val="24"/>
          <w:lang w:val="es-MX"/>
        </w:rPr>
        <w:t>artículo</w:t>
      </w:r>
      <w:r w:rsidRPr="00EC663B">
        <w:rPr>
          <w:rFonts w:ascii="Bookman Old Style" w:hAnsi="Bookman Old Style"/>
          <w:bCs/>
          <w:sz w:val="24"/>
          <w:szCs w:val="24"/>
          <w:lang w:val="es-MX"/>
        </w:rPr>
        <w:t xml:space="preserve"> 89</w:t>
      </w:r>
      <w:r w:rsidR="002A5DDA" w:rsidRPr="00EC663B">
        <w:rPr>
          <w:rFonts w:ascii="Bookman Old Style" w:hAnsi="Bookman Old Style"/>
          <w:bCs/>
          <w:sz w:val="24"/>
          <w:szCs w:val="24"/>
          <w:lang w:val="es-MX"/>
        </w:rPr>
        <w:t>,</w:t>
      </w:r>
      <w:r w:rsidRPr="00EC663B">
        <w:rPr>
          <w:rFonts w:ascii="Bookman Old Style" w:hAnsi="Bookman Old Style"/>
          <w:bCs/>
          <w:sz w:val="24"/>
          <w:szCs w:val="24"/>
          <w:lang w:val="es-MX"/>
        </w:rPr>
        <w:t xml:space="preserve"> 90 </w:t>
      </w:r>
      <w:r w:rsidR="002A5DDA" w:rsidRPr="00EC663B">
        <w:rPr>
          <w:rFonts w:ascii="Bookman Old Style" w:hAnsi="Bookman Old Style"/>
          <w:bCs/>
          <w:sz w:val="24"/>
          <w:szCs w:val="24"/>
          <w:lang w:val="es-MX"/>
        </w:rPr>
        <w:t xml:space="preserve">y 91 </w:t>
      </w:r>
      <w:r w:rsidRPr="00EC663B">
        <w:rPr>
          <w:rFonts w:ascii="Bookman Old Style" w:hAnsi="Bookman Old Style"/>
          <w:bCs/>
          <w:sz w:val="24"/>
          <w:szCs w:val="24"/>
          <w:lang w:val="es-MX"/>
        </w:rPr>
        <w:t>con el siguiente texto:</w:t>
      </w:r>
    </w:p>
    <w:p w14:paraId="015950D7" w14:textId="435EE40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 xml:space="preserve">Artículo </w:t>
      </w:r>
      <w:r w:rsidR="009A0A00" w:rsidRPr="00EC663B">
        <w:rPr>
          <w:rFonts w:ascii="Bookman Old Style" w:hAnsi="Bookman Old Style"/>
          <w:b/>
          <w:sz w:val="24"/>
          <w:szCs w:val="24"/>
          <w:lang w:val="es-MX"/>
        </w:rPr>
        <w:t>89</w:t>
      </w:r>
      <w:r w:rsidRPr="00EC663B">
        <w:rPr>
          <w:rFonts w:ascii="Bookman Old Style" w:hAnsi="Bookman Old Style"/>
          <w:b/>
          <w:sz w:val="24"/>
          <w:szCs w:val="24"/>
          <w:lang w:val="es-MX"/>
        </w:rPr>
        <w:t>. – Plazos y formas de pago.</w:t>
      </w:r>
      <w:r w:rsidRPr="00EC663B">
        <w:rPr>
          <w:rFonts w:ascii="Bookman Old Style" w:hAnsi="Bookman Old Style"/>
          <w:sz w:val="24"/>
          <w:szCs w:val="24"/>
          <w:lang w:val="es-MX"/>
        </w:rPr>
        <w:t xml:space="preserve"> Los valores correspondientes a las tasas por los servicios de recolección, transporte, tratamiento y disposición final de residuos sólidos deberán ser cancelados por los sujetos pasivos dentro de los plazos establecidos en el presente artículo. El pago de la tasa se efectuará de forma anual o conforme al mecanismo que determine el Gobierno Autónomo Descentralizado Municipal del Cantón Guaranda.</w:t>
      </w:r>
    </w:p>
    <w:p w14:paraId="58AAB94A" w14:textId="77777777" w:rsidR="00120557" w:rsidRPr="00EC663B" w:rsidRDefault="00120557" w:rsidP="00B41EFC">
      <w:pPr>
        <w:spacing w:after="0" w:line="360" w:lineRule="auto"/>
        <w:ind w:left="-5" w:right="18"/>
        <w:jc w:val="both"/>
        <w:rPr>
          <w:rFonts w:ascii="Bookman Old Style" w:hAnsi="Bookman Old Style"/>
          <w:sz w:val="24"/>
          <w:szCs w:val="24"/>
        </w:rPr>
      </w:pPr>
    </w:p>
    <w:p w14:paraId="56803E0A" w14:textId="2CB5E1F8" w:rsidR="00B372D0" w:rsidRPr="00EC663B" w:rsidRDefault="00B372D0" w:rsidP="00B41EFC">
      <w:pPr>
        <w:spacing w:after="0" w:line="360" w:lineRule="auto"/>
        <w:ind w:left="-5" w:right="18"/>
        <w:jc w:val="both"/>
        <w:rPr>
          <w:rFonts w:ascii="Bookman Old Style" w:hAnsi="Bookman Old Style"/>
          <w:sz w:val="24"/>
          <w:szCs w:val="24"/>
        </w:rPr>
      </w:pPr>
      <w:r w:rsidRPr="00EC663B">
        <w:rPr>
          <w:rFonts w:ascii="Bookman Old Style" w:hAnsi="Bookman Old Style"/>
          <w:sz w:val="24"/>
          <w:szCs w:val="24"/>
        </w:rPr>
        <w:t>Los pagos realizados hasta el 3</w:t>
      </w:r>
      <w:r w:rsidR="00376CEC" w:rsidRPr="00EC663B">
        <w:rPr>
          <w:rFonts w:ascii="Bookman Old Style" w:hAnsi="Bookman Old Style"/>
          <w:sz w:val="24"/>
          <w:szCs w:val="24"/>
        </w:rPr>
        <w:t>1</w:t>
      </w:r>
      <w:r w:rsidRPr="00EC663B">
        <w:rPr>
          <w:rFonts w:ascii="Bookman Old Style" w:hAnsi="Bookman Old Style"/>
          <w:sz w:val="24"/>
          <w:szCs w:val="24"/>
        </w:rPr>
        <w:t xml:space="preserve"> de </w:t>
      </w:r>
      <w:r w:rsidR="00376CEC" w:rsidRPr="00EC663B">
        <w:rPr>
          <w:rFonts w:ascii="Bookman Old Style" w:hAnsi="Bookman Old Style"/>
          <w:sz w:val="24"/>
          <w:szCs w:val="24"/>
        </w:rPr>
        <w:t>diciembre</w:t>
      </w:r>
      <w:r w:rsidRPr="00EC663B">
        <w:rPr>
          <w:rFonts w:ascii="Bookman Old Style" w:hAnsi="Bookman Old Style"/>
          <w:sz w:val="24"/>
          <w:szCs w:val="24"/>
        </w:rPr>
        <w:t xml:space="preserve"> de cada ejercicio fiscal no generarán recargo, multa ni interés alguno. A partir del 1 de </w:t>
      </w:r>
      <w:r w:rsidR="00376CEC" w:rsidRPr="00EC663B">
        <w:rPr>
          <w:rFonts w:ascii="Bookman Old Style" w:hAnsi="Bookman Old Style"/>
          <w:sz w:val="24"/>
          <w:szCs w:val="24"/>
        </w:rPr>
        <w:t>enero</w:t>
      </w:r>
      <w:r w:rsidRPr="00EC663B">
        <w:rPr>
          <w:rFonts w:ascii="Bookman Old Style" w:hAnsi="Bookman Old Style"/>
          <w:sz w:val="24"/>
          <w:szCs w:val="24"/>
        </w:rPr>
        <w:t xml:space="preserve"> del</w:t>
      </w:r>
      <w:r w:rsidR="00376CEC" w:rsidRPr="00EC663B">
        <w:rPr>
          <w:rFonts w:ascii="Bookman Old Style" w:hAnsi="Bookman Old Style"/>
          <w:sz w:val="24"/>
          <w:szCs w:val="24"/>
        </w:rPr>
        <w:t xml:space="preserve"> año siguiente</w:t>
      </w:r>
      <w:r w:rsidRPr="00EC663B">
        <w:rPr>
          <w:rFonts w:ascii="Bookman Old Style" w:hAnsi="Bookman Old Style"/>
          <w:sz w:val="24"/>
          <w:szCs w:val="24"/>
        </w:rPr>
        <w:t>, los valores pendientes de pago generarán:</w:t>
      </w:r>
    </w:p>
    <w:p w14:paraId="38FD3CBC" w14:textId="77777777" w:rsidR="00376CEC" w:rsidRPr="00EC663B" w:rsidRDefault="00376CEC" w:rsidP="00B41EFC">
      <w:pPr>
        <w:spacing w:after="0" w:line="360" w:lineRule="auto"/>
        <w:ind w:left="-5" w:right="18"/>
        <w:jc w:val="both"/>
        <w:rPr>
          <w:rFonts w:ascii="Bookman Old Style" w:hAnsi="Bookman Old Style"/>
          <w:sz w:val="24"/>
          <w:szCs w:val="24"/>
        </w:rPr>
      </w:pPr>
    </w:p>
    <w:p w14:paraId="10D8EE16" w14:textId="237D9DE3" w:rsidR="00B372D0" w:rsidRPr="00EC663B" w:rsidRDefault="00B372D0" w:rsidP="00120557">
      <w:pPr>
        <w:pStyle w:val="Prrafodelista"/>
        <w:numPr>
          <w:ilvl w:val="0"/>
          <w:numId w:val="9"/>
        </w:numPr>
        <w:spacing w:line="360" w:lineRule="auto"/>
        <w:ind w:right="18"/>
        <w:jc w:val="both"/>
        <w:rPr>
          <w:rFonts w:ascii="Bookman Old Style" w:hAnsi="Bookman Old Style"/>
        </w:rPr>
      </w:pPr>
      <w:r w:rsidRPr="00EC663B">
        <w:rPr>
          <w:rFonts w:ascii="Bookman Old Style" w:hAnsi="Bookman Old Style"/>
        </w:rPr>
        <w:t>Intereses de mora calculados conforme a las tasas de inter</w:t>
      </w:r>
      <w:r w:rsidRPr="00EC663B">
        <w:rPr>
          <w:rFonts w:ascii="Bookman Old Style" w:hAnsi="Bookman Old Style" w:cs="Bookman Old Style"/>
        </w:rPr>
        <w:t>é</w:t>
      </w:r>
      <w:r w:rsidRPr="00EC663B">
        <w:rPr>
          <w:rFonts w:ascii="Bookman Old Style" w:hAnsi="Bookman Old Style"/>
        </w:rPr>
        <w:t>s establecidas en el C</w:t>
      </w:r>
      <w:r w:rsidRPr="00EC663B">
        <w:rPr>
          <w:rFonts w:ascii="Bookman Old Style" w:hAnsi="Bookman Old Style" w:cs="Bookman Old Style"/>
        </w:rPr>
        <w:t>ó</w:t>
      </w:r>
      <w:r w:rsidRPr="00EC663B">
        <w:rPr>
          <w:rFonts w:ascii="Bookman Old Style" w:hAnsi="Bookman Old Style"/>
        </w:rPr>
        <w:t>digo Tributario, en concordancia con las tasas activas y pasivas publicadas por el Banco Central del Ecuador, y dem</w:t>
      </w:r>
      <w:r w:rsidRPr="00EC663B">
        <w:rPr>
          <w:rFonts w:ascii="Bookman Old Style" w:hAnsi="Bookman Old Style" w:cs="Bookman Old Style"/>
        </w:rPr>
        <w:t>á</w:t>
      </w:r>
      <w:r w:rsidRPr="00EC663B">
        <w:rPr>
          <w:rFonts w:ascii="Bookman Old Style" w:hAnsi="Bookman Old Style"/>
        </w:rPr>
        <w:t>s normativa legal vigente.</w:t>
      </w:r>
    </w:p>
    <w:p w14:paraId="6D327D68" w14:textId="510505B9" w:rsidR="00B372D0" w:rsidRPr="00EC663B" w:rsidRDefault="00B372D0" w:rsidP="00B41EFC">
      <w:pPr>
        <w:spacing w:after="0" w:line="360" w:lineRule="auto"/>
        <w:ind w:left="-5" w:right="18"/>
        <w:jc w:val="both"/>
        <w:rPr>
          <w:rFonts w:ascii="Bookman Old Style" w:hAnsi="Bookman Old Style"/>
          <w:sz w:val="24"/>
          <w:szCs w:val="24"/>
        </w:rPr>
      </w:pPr>
    </w:p>
    <w:p w14:paraId="4502008F"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El pago de la tasa podrá efectuarse a través de los siguientes medios autorizados:</w:t>
      </w:r>
    </w:p>
    <w:p w14:paraId="33707C70" w14:textId="77777777"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t>Efectivo, en las ventanillas de la Tesorería Municipal o en las entidades recaudadoras autorizadas por el GAD Municipal.</w:t>
      </w:r>
    </w:p>
    <w:p w14:paraId="4D4448EC" w14:textId="77777777"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t>Depósito o transferencia bancaria en las cuentas oficiales del GAD Municipal del Cantón Guaranda, debidamente publicadas.</w:t>
      </w:r>
    </w:p>
    <w:p w14:paraId="706FD23E" w14:textId="77777777"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lastRenderedPageBreak/>
        <w:t>Tarjetas de crédito y débito, mediante los canales habilitados por el GAD Municipal o las entidades financieras autorizadas.</w:t>
      </w:r>
    </w:p>
    <w:p w14:paraId="4410C0F5" w14:textId="77777777"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t>Otros medios electrónicos de pago que el GAD Municipal del Cantón Guaranda implemente y comunique oficialmente.</w:t>
      </w:r>
    </w:p>
    <w:p w14:paraId="51C74AA0"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6586AADF" w14:textId="77777777" w:rsidR="00B372D0" w:rsidRPr="00EC663B" w:rsidRDefault="00B372D0" w:rsidP="00B41EFC">
      <w:pPr>
        <w:spacing w:after="0" w:line="360" w:lineRule="auto"/>
        <w:ind w:left="-5" w:right="18"/>
        <w:jc w:val="both"/>
        <w:rPr>
          <w:rFonts w:ascii="Bookman Old Style" w:hAnsi="Bookman Old Style"/>
          <w:sz w:val="24"/>
          <w:szCs w:val="24"/>
          <w:lang w:val="es-MX"/>
        </w:rPr>
      </w:pPr>
      <w:bookmarkStart w:id="0" w:name="_Hlk217853490"/>
      <w:r w:rsidRPr="00EC663B">
        <w:rPr>
          <w:rFonts w:ascii="Bookman Old Style" w:hAnsi="Bookman Old Style"/>
          <w:sz w:val="24"/>
          <w:szCs w:val="24"/>
          <w:lang w:val="es-MX"/>
        </w:rPr>
        <w:t>El GAD Municipal garantizará la transparencia, trazabilidad y control de la recaudación a través de los sistemas contables, financieros y de registro que correspondan, sin perjuicio de las acciones administrativas y coactivas aplicables para la recuperación de los valores adeudados.</w:t>
      </w:r>
    </w:p>
    <w:bookmarkEnd w:id="0"/>
    <w:p w14:paraId="7A56298A"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56848EFD" w14:textId="502F0CF6" w:rsidR="00B372D0" w:rsidRPr="00EC663B" w:rsidRDefault="00B372D0" w:rsidP="00B41EFC">
      <w:pPr>
        <w:spacing w:after="0" w:line="360" w:lineRule="auto"/>
        <w:ind w:left="-5"/>
        <w:jc w:val="both"/>
        <w:rPr>
          <w:rFonts w:ascii="Bookman Old Style" w:hAnsi="Bookman Old Style"/>
          <w:sz w:val="24"/>
          <w:szCs w:val="24"/>
          <w:lang w:val="es-MX"/>
        </w:rPr>
      </w:pPr>
      <w:r w:rsidRPr="00EC663B">
        <w:rPr>
          <w:rFonts w:ascii="Bookman Old Style" w:hAnsi="Bookman Old Style"/>
          <w:b/>
          <w:sz w:val="24"/>
          <w:szCs w:val="24"/>
          <w:lang w:val="es-MX"/>
        </w:rPr>
        <w:t>Artículo 9</w:t>
      </w:r>
      <w:r w:rsidR="009A0A00" w:rsidRPr="00EC663B">
        <w:rPr>
          <w:rFonts w:ascii="Bookman Old Style" w:hAnsi="Bookman Old Style"/>
          <w:b/>
          <w:sz w:val="24"/>
          <w:szCs w:val="24"/>
          <w:lang w:val="es-MX"/>
        </w:rPr>
        <w:t>0</w:t>
      </w:r>
      <w:r w:rsidRPr="00EC663B">
        <w:rPr>
          <w:rFonts w:ascii="Bookman Old Style" w:hAnsi="Bookman Old Style"/>
          <w:b/>
          <w:sz w:val="24"/>
          <w:szCs w:val="24"/>
          <w:lang w:val="es-MX"/>
        </w:rPr>
        <w:t xml:space="preserve">. – Vigencia del tributo y forma de cobro. </w:t>
      </w:r>
      <w:r w:rsidRPr="00EC663B">
        <w:rPr>
          <w:rFonts w:ascii="Bookman Old Style" w:hAnsi="Bookman Old Style"/>
          <w:sz w:val="24"/>
          <w:szCs w:val="24"/>
          <w:lang w:val="es-MX"/>
        </w:rPr>
        <w:t xml:space="preserve"> Las tasas establecidas en la presente ordenanza se aplicarán como un tributo que se determine a partir del mes de enero del ejercicio fiscal correspondiente a su entrada en vigencia, conforme a lo dispuesto en la normativa legal aplicable. </w:t>
      </w:r>
    </w:p>
    <w:p w14:paraId="366E637E" w14:textId="77777777" w:rsidR="00B372D0" w:rsidRPr="00EC663B" w:rsidRDefault="00B372D0" w:rsidP="00B41EFC">
      <w:pPr>
        <w:spacing w:after="0" w:line="360" w:lineRule="auto"/>
        <w:ind w:left="-5"/>
        <w:jc w:val="both"/>
        <w:rPr>
          <w:rFonts w:ascii="Bookman Old Style" w:hAnsi="Bookman Old Style"/>
          <w:sz w:val="24"/>
          <w:szCs w:val="24"/>
          <w:lang w:val="es-MX"/>
        </w:rPr>
      </w:pPr>
    </w:p>
    <w:p w14:paraId="43EB9B9C"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El cobro de los valores generados por los servicios de recolección, transporte, tratamiento y disposición final de residuos sólidos se realizará a través de la Tesorería Municipal del Gobierno Autónomo Descentralizado del Cantón Guaranda, mediante los títulos de crédito, liquidaciones o mecanismos administrativos que se emitan para el efecto. </w:t>
      </w:r>
    </w:p>
    <w:p w14:paraId="40BD8A69"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4273B6B6"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La Tesorería Municipal será la responsable de la recaudación y control de los ingresos provenientes de este tributo, garantizando la trazabilidad y el cumplimiento de los procedimientos de caja y bancos.</w:t>
      </w:r>
    </w:p>
    <w:p w14:paraId="6C35326A"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4FDC0597"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El registro contable de los ingresos por este tributo corresponderá al área de Contabilidad del GAD Municipal del Cantón Guaranda, conforme al plan de cuentas y a las normas de contabilidad pública aplicables.</w:t>
      </w:r>
    </w:p>
    <w:p w14:paraId="46CF6013"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1817E7E5" w14:textId="3E08802D" w:rsidR="00B372D0" w:rsidRPr="00EC663B" w:rsidRDefault="00235E26"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lastRenderedPageBreak/>
        <w:t>La emisión de títulos de crédito y/o comprobantes de pago de la tasa serán responsabilidad de la Dirección Financiera mediante la jefatura de rentas.</w:t>
      </w:r>
    </w:p>
    <w:p w14:paraId="672A144A" w14:textId="77777777" w:rsidR="00235E26" w:rsidRPr="00EC663B" w:rsidRDefault="00235E26" w:rsidP="00B41EFC">
      <w:pPr>
        <w:spacing w:after="0" w:line="360" w:lineRule="auto"/>
        <w:ind w:left="-5" w:right="18"/>
        <w:jc w:val="both"/>
        <w:rPr>
          <w:rFonts w:ascii="Bookman Old Style" w:hAnsi="Bookman Old Style"/>
          <w:sz w:val="24"/>
          <w:szCs w:val="24"/>
          <w:lang w:val="es-MX"/>
        </w:rPr>
      </w:pPr>
    </w:p>
    <w:p w14:paraId="6827FD3A"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La generación, administración y depuración del catastro de la tasa de recolección de residuos sólidos será responsabilidad de la Dirección de Gestión Ambiental, en coordinación con la Dirección de Planificación y la Dirección Financiera, garantizando la actualización permanente y la calidad de la información catastral.</w:t>
      </w:r>
    </w:p>
    <w:p w14:paraId="612A8D62" w14:textId="77777777" w:rsidR="00B372D0" w:rsidRPr="00EC663B" w:rsidRDefault="00B372D0" w:rsidP="00B41EFC">
      <w:pPr>
        <w:spacing w:after="0" w:line="360" w:lineRule="auto"/>
        <w:jc w:val="both"/>
        <w:rPr>
          <w:rFonts w:ascii="Bookman Old Style" w:hAnsi="Bookman Old Style"/>
          <w:b/>
          <w:sz w:val="24"/>
          <w:szCs w:val="24"/>
          <w:lang w:val="es-MX"/>
        </w:rPr>
      </w:pPr>
    </w:p>
    <w:p w14:paraId="387ED759" w14:textId="02656691" w:rsidR="00B372D0" w:rsidRPr="00EC663B" w:rsidRDefault="00B372D0" w:rsidP="00B41EFC">
      <w:pPr>
        <w:spacing w:after="0" w:line="360" w:lineRule="auto"/>
        <w:ind w:left="-5"/>
        <w:jc w:val="both"/>
        <w:rPr>
          <w:rFonts w:ascii="Bookman Old Style" w:hAnsi="Bookman Old Style"/>
          <w:sz w:val="24"/>
          <w:szCs w:val="24"/>
          <w:lang w:val="es-MX"/>
        </w:rPr>
      </w:pPr>
      <w:r w:rsidRPr="00EC663B">
        <w:rPr>
          <w:rFonts w:ascii="Bookman Old Style" w:hAnsi="Bookman Old Style"/>
          <w:b/>
          <w:sz w:val="24"/>
          <w:szCs w:val="24"/>
          <w:lang w:val="es-MX"/>
        </w:rPr>
        <w:t>Artículo 9</w:t>
      </w:r>
      <w:r w:rsidR="009A0A00" w:rsidRPr="00EC663B">
        <w:rPr>
          <w:rFonts w:ascii="Bookman Old Style" w:hAnsi="Bookman Old Style"/>
          <w:b/>
          <w:sz w:val="24"/>
          <w:szCs w:val="24"/>
          <w:lang w:val="es-MX"/>
        </w:rPr>
        <w:t>1</w:t>
      </w:r>
      <w:r w:rsidRPr="00EC663B">
        <w:rPr>
          <w:rFonts w:ascii="Bookman Old Style" w:hAnsi="Bookman Old Style"/>
          <w:b/>
          <w:sz w:val="24"/>
          <w:szCs w:val="24"/>
          <w:lang w:val="es-MX"/>
        </w:rPr>
        <w:t xml:space="preserve">. – Infracciones y sanciones por incumplimiento de las </w:t>
      </w:r>
    </w:p>
    <w:p w14:paraId="751836A3" w14:textId="77777777" w:rsidR="00B372D0" w:rsidRPr="00EC663B" w:rsidRDefault="00B372D0" w:rsidP="00B41EFC">
      <w:pPr>
        <w:spacing w:after="0" w:line="360" w:lineRule="auto"/>
        <w:ind w:left="-5"/>
        <w:jc w:val="both"/>
        <w:rPr>
          <w:rFonts w:ascii="Bookman Old Style" w:hAnsi="Bookman Old Style"/>
          <w:sz w:val="24"/>
          <w:szCs w:val="24"/>
          <w:lang w:val="es-MX"/>
        </w:rPr>
      </w:pPr>
      <w:r w:rsidRPr="00EC663B">
        <w:rPr>
          <w:rFonts w:ascii="Bookman Old Style" w:hAnsi="Bookman Old Style"/>
          <w:b/>
          <w:sz w:val="24"/>
          <w:szCs w:val="24"/>
          <w:lang w:val="es-MX"/>
        </w:rPr>
        <w:t>obligaciones tributarias.</w:t>
      </w:r>
      <w:r w:rsidRPr="00EC663B">
        <w:rPr>
          <w:rFonts w:ascii="Bookman Old Style" w:hAnsi="Bookman Old Style"/>
          <w:sz w:val="24"/>
          <w:szCs w:val="24"/>
          <w:lang w:val="es-MX"/>
        </w:rPr>
        <w:t xml:space="preserve"> </w:t>
      </w:r>
    </w:p>
    <w:p w14:paraId="3CF50C18"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Constituyen infracciones tributarias relacionadas con las tasas por los servicios de recolección, transporte, tratamiento y disposición final de residuos sólidos, las siguientes: </w:t>
      </w:r>
    </w:p>
    <w:p w14:paraId="1FDDB862" w14:textId="77777777" w:rsidR="00B372D0" w:rsidRPr="00EC663B" w:rsidRDefault="00B372D0" w:rsidP="00B41EFC">
      <w:pPr>
        <w:pStyle w:val="Prrafodelista"/>
        <w:numPr>
          <w:ilvl w:val="0"/>
          <w:numId w:val="3"/>
        </w:numPr>
        <w:spacing w:line="360" w:lineRule="auto"/>
        <w:ind w:right="23"/>
        <w:jc w:val="both"/>
        <w:rPr>
          <w:rFonts w:ascii="Bookman Old Style" w:hAnsi="Bookman Old Style"/>
          <w:lang w:val="es-MX"/>
        </w:rPr>
      </w:pPr>
      <w:r w:rsidRPr="00EC663B">
        <w:rPr>
          <w:rFonts w:ascii="Bookman Old Style" w:hAnsi="Bookman Old Style"/>
          <w:lang w:val="es-MX"/>
        </w:rPr>
        <w:t xml:space="preserve">La falta de pago total o parcial de las tasas dentro de los plazos establecidos en la presente ordenanza. </w:t>
      </w:r>
    </w:p>
    <w:p w14:paraId="17F73BE7" w14:textId="77777777" w:rsidR="00B372D0" w:rsidRPr="00EC663B" w:rsidRDefault="00B372D0" w:rsidP="00B41EFC">
      <w:pPr>
        <w:pStyle w:val="Prrafodelista"/>
        <w:numPr>
          <w:ilvl w:val="0"/>
          <w:numId w:val="3"/>
        </w:numPr>
        <w:spacing w:line="360" w:lineRule="auto"/>
        <w:ind w:right="23"/>
        <w:jc w:val="both"/>
        <w:rPr>
          <w:rFonts w:ascii="Bookman Old Style" w:hAnsi="Bookman Old Style"/>
          <w:lang w:val="es-MX"/>
        </w:rPr>
      </w:pPr>
      <w:r w:rsidRPr="00EC663B">
        <w:rPr>
          <w:rFonts w:ascii="Bookman Old Style" w:hAnsi="Bookman Old Style"/>
          <w:lang w:val="es-MX"/>
        </w:rPr>
        <w:t xml:space="preserve">El pago tardío de las obligaciones tributarias, una vez vencido el plazo previsto para su cancelación sin recargo. </w:t>
      </w:r>
    </w:p>
    <w:p w14:paraId="02C1DE85"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El cometimiento de las infracciones señaladas dará lugar a la aplicación de las sanciones administrativas y tributarias previstas en el Código Tributario, el Código Orgánico de Organización Territorial, Autonomía y Descentralización (COOTAD) y demás normativa legal vigente, que </w:t>
      </w:r>
    </w:p>
    <w:p w14:paraId="6282405F"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podrán comprender, según el caso: </w:t>
      </w:r>
    </w:p>
    <w:p w14:paraId="39EC7539" w14:textId="77777777" w:rsidR="00B372D0" w:rsidRPr="00EC663B" w:rsidRDefault="00B372D0" w:rsidP="00B41EFC">
      <w:pPr>
        <w:pStyle w:val="Prrafodelista"/>
        <w:numPr>
          <w:ilvl w:val="0"/>
          <w:numId w:val="2"/>
        </w:numPr>
        <w:spacing w:line="360" w:lineRule="auto"/>
        <w:ind w:right="23"/>
        <w:jc w:val="both"/>
        <w:rPr>
          <w:rFonts w:ascii="Bookman Old Style" w:hAnsi="Bookman Old Style"/>
          <w:lang w:val="es-MX"/>
        </w:rPr>
      </w:pPr>
      <w:r w:rsidRPr="00EC663B">
        <w:rPr>
          <w:rFonts w:ascii="Bookman Old Style" w:hAnsi="Bookman Old Style"/>
          <w:lang w:val="es-MX"/>
        </w:rPr>
        <w:t xml:space="preserve">Intereses por mora, calculados conforme a las tasas establecidas por el Código Tributario y el Banco Central del Ecuador. </w:t>
      </w:r>
    </w:p>
    <w:p w14:paraId="3F59EE17" w14:textId="77777777" w:rsidR="00B372D0" w:rsidRPr="00EC663B" w:rsidRDefault="00B372D0" w:rsidP="00B41EFC">
      <w:pPr>
        <w:pStyle w:val="Prrafodelista"/>
        <w:numPr>
          <w:ilvl w:val="0"/>
          <w:numId w:val="2"/>
        </w:numPr>
        <w:spacing w:line="360" w:lineRule="auto"/>
        <w:ind w:right="23"/>
        <w:jc w:val="both"/>
        <w:rPr>
          <w:rFonts w:ascii="Bookman Old Style" w:hAnsi="Bookman Old Style"/>
          <w:lang w:val="es-MX"/>
        </w:rPr>
      </w:pPr>
      <w:r w:rsidRPr="00EC663B">
        <w:rPr>
          <w:rFonts w:ascii="Bookman Old Style" w:hAnsi="Bookman Old Style"/>
          <w:lang w:val="es-MX"/>
        </w:rPr>
        <w:t xml:space="preserve">Inicio del procedimiento coactivo para la recuperación de los valores adeudados. </w:t>
      </w:r>
    </w:p>
    <w:p w14:paraId="780FAEC9" w14:textId="77777777" w:rsidR="00B372D0" w:rsidRPr="00EC663B" w:rsidRDefault="00B372D0" w:rsidP="00B41EFC">
      <w:pPr>
        <w:spacing w:after="0" w:line="360" w:lineRule="auto"/>
        <w:ind w:right="23"/>
        <w:jc w:val="both"/>
        <w:rPr>
          <w:rFonts w:ascii="Bookman Old Style" w:hAnsi="Bookman Old Style"/>
          <w:sz w:val="24"/>
          <w:szCs w:val="24"/>
          <w:lang w:val="es-MX"/>
        </w:rPr>
      </w:pPr>
    </w:p>
    <w:p w14:paraId="0CB14B56"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La aplicación de sanciones se realizará garantizando el debido proceso, el derecho a la defensa y los principios de legalidad, proporcionalidad y </w:t>
      </w:r>
      <w:r w:rsidRPr="00EC663B">
        <w:rPr>
          <w:rFonts w:ascii="Bookman Old Style" w:hAnsi="Bookman Old Style"/>
          <w:sz w:val="24"/>
          <w:szCs w:val="24"/>
          <w:lang w:val="es-MX"/>
        </w:rPr>
        <w:lastRenderedPageBreak/>
        <w:t xml:space="preserve">razonabilidad, sin perjuicio de la obligación principal de pago del tributo adeudado. </w:t>
      </w:r>
    </w:p>
    <w:p w14:paraId="08A3CE87" w14:textId="77777777" w:rsidR="00B372D0" w:rsidRPr="00EC663B" w:rsidRDefault="00B372D0" w:rsidP="00B41EFC">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 xml:space="preserve">  </w:t>
      </w:r>
    </w:p>
    <w:p w14:paraId="0F36D1EF" w14:textId="12321A69" w:rsidR="00B372D0" w:rsidRPr="00EC663B" w:rsidRDefault="00B372D0" w:rsidP="00B41EFC">
      <w:pPr>
        <w:pStyle w:val="Ttulo1"/>
        <w:spacing w:before="0" w:line="360" w:lineRule="auto"/>
        <w:ind w:right="707"/>
        <w:jc w:val="center"/>
        <w:rPr>
          <w:rFonts w:ascii="Bookman Old Style" w:hAnsi="Bookman Old Style"/>
          <w:b/>
          <w:color w:val="auto"/>
          <w:sz w:val="24"/>
          <w:szCs w:val="24"/>
          <w:lang w:val="es-MX"/>
        </w:rPr>
      </w:pPr>
      <w:r w:rsidRPr="00EC663B">
        <w:rPr>
          <w:rFonts w:ascii="Bookman Old Style" w:hAnsi="Bookman Old Style"/>
          <w:b/>
          <w:color w:val="auto"/>
          <w:sz w:val="24"/>
          <w:szCs w:val="24"/>
          <w:lang w:val="es-MX"/>
        </w:rPr>
        <w:t>DISPOSICIÓN GENERAL</w:t>
      </w:r>
    </w:p>
    <w:p w14:paraId="272BEAB0" w14:textId="6F4C092B" w:rsidR="00683788" w:rsidRPr="00EC663B" w:rsidRDefault="00710EAF" w:rsidP="002A5DDA">
      <w:pPr>
        <w:spacing w:line="360" w:lineRule="auto"/>
        <w:jc w:val="both"/>
        <w:rPr>
          <w:rFonts w:ascii="Bookman Old Style" w:hAnsi="Bookman Old Style"/>
          <w:sz w:val="24"/>
          <w:szCs w:val="24"/>
          <w:lang w:val="es-MX"/>
        </w:rPr>
      </w:pPr>
      <w:r w:rsidRPr="00EC663B">
        <w:rPr>
          <w:rFonts w:ascii="Bookman Old Style" w:hAnsi="Bookman Old Style"/>
          <w:b/>
          <w:sz w:val="24"/>
          <w:szCs w:val="24"/>
          <w:lang w:val="es-MX"/>
        </w:rPr>
        <w:t>Primera. -</w:t>
      </w:r>
      <w:r w:rsidR="00683788" w:rsidRPr="00EC663B">
        <w:rPr>
          <w:rFonts w:ascii="Bookman Old Style" w:hAnsi="Bookman Old Style"/>
          <w:sz w:val="24"/>
          <w:szCs w:val="24"/>
          <w:lang w:val="es-MX"/>
        </w:rPr>
        <w:t xml:space="preserve"> Suprímase, en todos los artículos de la presente Ordenanza, la expresión “Comisario Municipal” e incorpórese en su lugar la expresión “Comisario Ambiental”, la expresión “Policía Municipal” e incorpórese en su lugar la expresión “Agente de Control” y suprimir la palabra “Inspectores Ambientales</w:t>
      </w:r>
      <w:r w:rsidRPr="00EC663B">
        <w:rPr>
          <w:rFonts w:ascii="Bookman Old Style" w:hAnsi="Bookman Old Style"/>
          <w:sz w:val="24"/>
          <w:szCs w:val="24"/>
          <w:lang w:val="es-MX"/>
        </w:rPr>
        <w:t>”, debiendo</w:t>
      </w:r>
      <w:r w:rsidR="00683788" w:rsidRPr="00EC663B">
        <w:rPr>
          <w:rFonts w:ascii="Bookman Old Style" w:hAnsi="Bookman Old Style"/>
          <w:sz w:val="24"/>
          <w:szCs w:val="24"/>
          <w:lang w:val="es-MX"/>
        </w:rPr>
        <w:t xml:space="preserve"> la autoridad competente efectuar las adecuaciones correspondientes en el texto normativo para garantizar su coherencia interna y correcta aplicación.</w:t>
      </w:r>
    </w:p>
    <w:p w14:paraId="45207CD7" w14:textId="6F982F0A" w:rsidR="00B372D0" w:rsidRPr="00EC663B" w:rsidRDefault="00710EAF" w:rsidP="00B41EFC">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Segunda. –</w:t>
      </w:r>
      <w:r w:rsidR="00B372D0" w:rsidRPr="00EC663B">
        <w:rPr>
          <w:rFonts w:ascii="Bookman Old Style" w:hAnsi="Bookman Old Style"/>
          <w:b/>
          <w:sz w:val="24"/>
          <w:szCs w:val="24"/>
          <w:lang w:val="es-MX"/>
        </w:rPr>
        <w:t xml:space="preserve"> </w:t>
      </w:r>
      <w:r w:rsidR="00B372D0" w:rsidRPr="00EC663B">
        <w:rPr>
          <w:rFonts w:ascii="Bookman Old Style" w:hAnsi="Bookman Old Style"/>
          <w:sz w:val="24"/>
          <w:szCs w:val="24"/>
          <w:lang w:val="es-MX"/>
        </w:rPr>
        <w:t xml:space="preserve">Las disposiciones contenidas en esta Reforma serán de aplicación obligatoria para todas las personas naturales o jurídicas, públicas o privadas, que residan, trabajen o desarrollen actividades dentro del ámbito territorial al que se refiere la presente normativa. </w:t>
      </w:r>
    </w:p>
    <w:p w14:paraId="0A6214BB" w14:textId="77777777" w:rsidR="00B372D0" w:rsidRPr="00EC663B" w:rsidRDefault="00B372D0" w:rsidP="00B41EFC">
      <w:pPr>
        <w:spacing w:after="0" w:line="360" w:lineRule="auto"/>
        <w:ind w:left="-5" w:right="18"/>
        <w:jc w:val="both"/>
        <w:rPr>
          <w:rFonts w:ascii="Bookman Old Style" w:hAnsi="Bookman Old Style"/>
          <w:b/>
          <w:sz w:val="24"/>
          <w:szCs w:val="24"/>
          <w:lang w:val="es-MX"/>
        </w:rPr>
      </w:pPr>
    </w:p>
    <w:p w14:paraId="6FC20E7E" w14:textId="0FA8E52A" w:rsidR="00B372D0" w:rsidRPr="00EC663B" w:rsidRDefault="00710EAF"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Tercera. -</w:t>
      </w:r>
      <w:r w:rsidR="00B372D0" w:rsidRPr="00EC663B">
        <w:rPr>
          <w:rFonts w:ascii="Bookman Old Style" w:hAnsi="Bookman Old Style"/>
          <w:b/>
          <w:sz w:val="24"/>
          <w:szCs w:val="24"/>
          <w:lang w:val="es-MX"/>
        </w:rPr>
        <w:t xml:space="preserve"> </w:t>
      </w:r>
      <w:r w:rsidR="00B372D0" w:rsidRPr="00EC663B">
        <w:rPr>
          <w:rFonts w:ascii="Bookman Old Style" w:hAnsi="Bookman Old Style"/>
          <w:sz w:val="24"/>
          <w:szCs w:val="24"/>
          <w:lang w:val="es-MX"/>
        </w:rPr>
        <w:t>La Dirección de Comunicación realizará un plan comunicacional, difusión y socialización, conjuntamente con la Dirección de Gestión Ambiental,</w:t>
      </w:r>
      <w:r w:rsidR="001C73E6" w:rsidRPr="00EC663B">
        <w:rPr>
          <w:rFonts w:ascii="Bookman Old Style" w:hAnsi="Bookman Old Style"/>
          <w:sz w:val="24"/>
          <w:szCs w:val="24"/>
          <w:lang w:val="es-MX"/>
        </w:rPr>
        <w:t xml:space="preserve"> y deberá realizar la traducción en dos idiomas: quichua y castellano.</w:t>
      </w:r>
      <w:r w:rsidR="00B372D0" w:rsidRPr="00EC663B">
        <w:rPr>
          <w:rFonts w:ascii="Bookman Old Style" w:hAnsi="Bookman Old Style"/>
          <w:sz w:val="24"/>
          <w:szCs w:val="24"/>
          <w:lang w:val="es-MX"/>
        </w:rPr>
        <w:t xml:space="preserve"> </w:t>
      </w:r>
    </w:p>
    <w:p w14:paraId="02B2D956"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2248588A" w14:textId="0D59EDE8" w:rsidR="00B372D0" w:rsidRPr="00EC663B" w:rsidRDefault="00710EAF"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Cuarta. -</w:t>
      </w:r>
      <w:r w:rsidR="00B372D0" w:rsidRPr="00EC663B">
        <w:rPr>
          <w:rFonts w:ascii="Bookman Old Style" w:hAnsi="Bookman Old Style"/>
          <w:sz w:val="24"/>
          <w:szCs w:val="24"/>
          <w:lang w:val="es-MX"/>
        </w:rPr>
        <w:t xml:space="preserve"> La actualización de las tarifas de las tasas de los servicios de recolección, transporte, tratamiento y disposición final de residuos sólidos de la presente ordenanza se sujetarán conforme a las consultorías y estudios que obligatoriamente deben realizarse</w:t>
      </w:r>
      <w:r w:rsidR="001C73E6" w:rsidRPr="00EC663B">
        <w:rPr>
          <w:rFonts w:ascii="Bookman Old Style" w:hAnsi="Bookman Old Style"/>
          <w:sz w:val="24"/>
          <w:szCs w:val="24"/>
          <w:lang w:val="es-MX"/>
        </w:rPr>
        <w:t xml:space="preserve"> por la Dirección de Gestión Ambiental</w:t>
      </w:r>
      <w:r w:rsidR="00B372D0" w:rsidRPr="00EC663B">
        <w:rPr>
          <w:rFonts w:ascii="Bookman Old Style" w:hAnsi="Bookman Old Style"/>
          <w:sz w:val="24"/>
          <w:szCs w:val="24"/>
          <w:lang w:val="es-MX"/>
        </w:rPr>
        <w:t xml:space="preserve"> </w:t>
      </w:r>
      <w:r w:rsidR="001C73E6" w:rsidRPr="00EC663B">
        <w:rPr>
          <w:rFonts w:ascii="Bookman Old Style" w:hAnsi="Bookman Old Style"/>
          <w:sz w:val="24"/>
          <w:szCs w:val="24"/>
          <w:lang w:val="es-MX"/>
        </w:rPr>
        <w:t>d</w:t>
      </w:r>
      <w:r w:rsidR="00B372D0" w:rsidRPr="00EC663B">
        <w:rPr>
          <w:rFonts w:ascii="Bookman Old Style" w:hAnsi="Bookman Old Style"/>
          <w:sz w:val="24"/>
          <w:szCs w:val="24"/>
          <w:lang w:val="es-MX"/>
        </w:rPr>
        <w:t>el Gobierno Autónomo Descentralizado del cantón Guaranda a fin de mantener el equilibrio de las finanzas entre gastos y recaudo con resultados definidos en el lapso de un año. En el cual se debe considerar que la tarifa no sea fija, sino variable, establecida mediante una tabla diferenciada para el sector comercial se considere criterios como:</w:t>
      </w:r>
    </w:p>
    <w:p w14:paraId="4C7964A0" w14:textId="48B7B946"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lastRenderedPageBreak/>
        <w:t>Tipo y tamaño de actividad económica,</w:t>
      </w:r>
    </w:p>
    <w:p w14:paraId="68162B55" w14:textId="23A91FC1"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t>Nivel de generación de residuos,</w:t>
      </w:r>
    </w:p>
    <w:p w14:paraId="35895A95" w14:textId="447C5B57" w:rsidR="00B372D0" w:rsidRPr="00EC663B" w:rsidRDefault="00B372D0" w:rsidP="00B41EFC">
      <w:pPr>
        <w:pStyle w:val="Prrafodelista"/>
        <w:numPr>
          <w:ilvl w:val="0"/>
          <w:numId w:val="7"/>
        </w:numPr>
        <w:spacing w:line="360" w:lineRule="auto"/>
        <w:ind w:right="18"/>
        <w:jc w:val="both"/>
        <w:rPr>
          <w:rFonts w:ascii="Bookman Old Style" w:hAnsi="Bookman Old Style"/>
          <w:lang w:val="es-MX"/>
        </w:rPr>
      </w:pPr>
      <w:r w:rsidRPr="00EC663B">
        <w:rPr>
          <w:rFonts w:ascii="Bookman Old Style" w:hAnsi="Bookman Old Style"/>
          <w:lang w:val="es-MX"/>
        </w:rPr>
        <w:t>Capacidad económica del contribuyente.</w:t>
      </w:r>
    </w:p>
    <w:p w14:paraId="7164E5E2"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46D4148C" w14:textId="7DCEE784" w:rsidR="00B372D0" w:rsidRPr="00EC663B" w:rsidRDefault="00710EAF"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Quinta</w:t>
      </w:r>
      <w:r w:rsidRPr="00EC663B">
        <w:rPr>
          <w:rFonts w:ascii="Bookman Old Style" w:hAnsi="Bookman Old Style"/>
          <w:sz w:val="24"/>
          <w:szCs w:val="24"/>
          <w:lang w:val="es-MX"/>
        </w:rPr>
        <w:t>. -</w:t>
      </w:r>
      <w:r w:rsidR="00B372D0" w:rsidRPr="00EC663B">
        <w:rPr>
          <w:rFonts w:ascii="Bookman Old Style" w:hAnsi="Bookman Old Style"/>
          <w:sz w:val="24"/>
          <w:szCs w:val="24"/>
          <w:lang w:val="es-MX"/>
        </w:rPr>
        <w:t xml:space="preserve"> La actualización de las tarifas de las tasas de los servicios de recolección, transporte, tratamiento y disposición final de residuos sólidos de la presente ordenanza se sujetarán a la actualización continua y permanente de catastros que obligatoriamente deben realizarse por </w:t>
      </w:r>
      <w:r w:rsidR="002A5DDA" w:rsidRPr="00EC663B">
        <w:rPr>
          <w:rFonts w:ascii="Bookman Old Style" w:hAnsi="Bookman Old Style"/>
          <w:sz w:val="24"/>
          <w:szCs w:val="24"/>
          <w:lang w:val="es-MX"/>
        </w:rPr>
        <w:t xml:space="preserve">las dependencias correspondientes del </w:t>
      </w:r>
      <w:r w:rsidR="00B372D0" w:rsidRPr="00EC663B">
        <w:rPr>
          <w:rFonts w:ascii="Bookman Old Style" w:hAnsi="Bookman Old Style"/>
          <w:sz w:val="24"/>
          <w:szCs w:val="24"/>
          <w:lang w:val="es-MX"/>
        </w:rPr>
        <w:t>Gobierno Autónomo Descentralizado del cantón Guaranda.</w:t>
      </w:r>
    </w:p>
    <w:p w14:paraId="51252C07" w14:textId="77777777" w:rsidR="00B372D0" w:rsidRPr="00EC663B" w:rsidRDefault="00B372D0" w:rsidP="00B41EFC">
      <w:pPr>
        <w:spacing w:after="0" w:line="360" w:lineRule="auto"/>
        <w:ind w:left="-5" w:right="18"/>
        <w:jc w:val="both"/>
        <w:rPr>
          <w:rFonts w:ascii="Bookman Old Style" w:hAnsi="Bookman Old Style"/>
          <w:sz w:val="24"/>
          <w:szCs w:val="24"/>
          <w:lang w:val="es-MX"/>
        </w:rPr>
      </w:pPr>
    </w:p>
    <w:p w14:paraId="1A16FB56" w14:textId="2E2C0744" w:rsidR="00B372D0" w:rsidRPr="00EC663B" w:rsidRDefault="00710EAF"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t>Sexta. -</w:t>
      </w:r>
      <w:r w:rsidR="00B372D0" w:rsidRPr="00EC663B">
        <w:rPr>
          <w:rFonts w:ascii="Bookman Old Style" w:hAnsi="Bookman Old Style"/>
          <w:sz w:val="24"/>
          <w:szCs w:val="24"/>
          <w:lang w:val="es-MX"/>
        </w:rPr>
        <w:t xml:space="preserve"> El puesto de Comisario A</w:t>
      </w:r>
      <w:r w:rsidR="00683788" w:rsidRPr="00EC663B">
        <w:rPr>
          <w:rFonts w:ascii="Bookman Old Style" w:hAnsi="Bookman Old Style"/>
          <w:sz w:val="24"/>
          <w:szCs w:val="24"/>
          <w:lang w:val="es-MX"/>
        </w:rPr>
        <w:t>mbiental,</w:t>
      </w:r>
      <w:r w:rsidR="00B372D0" w:rsidRPr="00EC663B">
        <w:rPr>
          <w:rFonts w:ascii="Bookman Old Style" w:hAnsi="Bookman Old Style"/>
          <w:sz w:val="24"/>
          <w:szCs w:val="24"/>
          <w:lang w:val="es-MX"/>
        </w:rPr>
        <w:t xml:space="preserve"> Técnico de Residuos Sólidos</w:t>
      </w:r>
      <w:r w:rsidR="00683788" w:rsidRPr="00EC663B">
        <w:rPr>
          <w:rFonts w:ascii="Bookman Old Style" w:hAnsi="Bookman Old Style"/>
          <w:sz w:val="24"/>
          <w:szCs w:val="24"/>
          <w:lang w:val="es-MX"/>
        </w:rPr>
        <w:t xml:space="preserve"> y Agente Municipal</w:t>
      </w:r>
      <w:r w:rsidR="00B372D0" w:rsidRPr="00EC663B">
        <w:rPr>
          <w:rFonts w:ascii="Bookman Old Style" w:hAnsi="Bookman Old Style"/>
          <w:sz w:val="24"/>
          <w:szCs w:val="24"/>
          <w:lang w:val="es-MX"/>
        </w:rPr>
        <w:t xml:space="preserve"> deberá ser incorporado mediante la a</w:t>
      </w:r>
      <w:r w:rsidR="00683788" w:rsidRPr="00EC663B">
        <w:rPr>
          <w:rFonts w:ascii="Bookman Old Style" w:hAnsi="Bookman Old Style"/>
          <w:sz w:val="24"/>
          <w:szCs w:val="24"/>
          <w:lang w:val="es-MX"/>
        </w:rPr>
        <w:t>ctualización de la reforma del Orgánico E</w:t>
      </w:r>
      <w:r w:rsidR="00B372D0" w:rsidRPr="00EC663B">
        <w:rPr>
          <w:rFonts w:ascii="Bookman Old Style" w:hAnsi="Bookman Old Style"/>
          <w:sz w:val="24"/>
          <w:szCs w:val="24"/>
          <w:lang w:val="es-MX"/>
        </w:rPr>
        <w:t>structural como normativa legal institucional.</w:t>
      </w:r>
    </w:p>
    <w:p w14:paraId="7EB4D034" w14:textId="77777777" w:rsidR="00B372D0" w:rsidRPr="00EC663B" w:rsidRDefault="00B372D0" w:rsidP="00B41EFC">
      <w:pPr>
        <w:spacing w:after="0" w:line="360" w:lineRule="auto"/>
        <w:ind w:left="-5" w:right="18"/>
        <w:jc w:val="both"/>
        <w:rPr>
          <w:rFonts w:ascii="Bookman Old Style" w:hAnsi="Bookman Old Style"/>
          <w:color w:val="FF0000"/>
          <w:sz w:val="24"/>
          <w:szCs w:val="24"/>
          <w:lang w:val="es-MX"/>
        </w:rPr>
      </w:pPr>
    </w:p>
    <w:p w14:paraId="79A46368" w14:textId="77777777" w:rsidR="00B372D0" w:rsidRPr="00EC663B" w:rsidRDefault="00B372D0" w:rsidP="00B41EFC">
      <w:pPr>
        <w:pStyle w:val="Ttulo1"/>
        <w:spacing w:before="0" w:line="360" w:lineRule="auto"/>
        <w:ind w:right="713"/>
        <w:jc w:val="center"/>
        <w:rPr>
          <w:rFonts w:ascii="Bookman Old Style" w:hAnsi="Bookman Old Style"/>
          <w:b/>
          <w:sz w:val="24"/>
          <w:szCs w:val="24"/>
          <w:lang w:val="es-MX"/>
        </w:rPr>
      </w:pPr>
      <w:r w:rsidRPr="00EC663B">
        <w:rPr>
          <w:rFonts w:ascii="Bookman Old Style" w:hAnsi="Bookman Old Style"/>
          <w:b/>
          <w:color w:val="auto"/>
          <w:sz w:val="24"/>
          <w:szCs w:val="24"/>
          <w:lang w:val="es-MX"/>
        </w:rPr>
        <w:t>DISPOSICIÓN DEROGATORIA</w:t>
      </w:r>
    </w:p>
    <w:p w14:paraId="1CFC3D3B" w14:textId="1612199B" w:rsidR="00B372D0" w:rsidRPr="00EC663B" w:rsidRDefault="00683788" w:rsidP="00B41EFC">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 xml:space="preserve">Primera. - </w:t>
      </w:r>
      <w:r w:rsidR="00B372D0" w:rsidRPr="00EC663B">
        <w:rPr>
          <w:rFonts w:ascii="Bookman Old Style" w:hAnsi="Bookman Old Style"/>
          <w:sz w:val="24"/>
          <w:szCs w:val="24"/>
          <w:lang w:val="es-MX"/>
        </w:rPr>
        <w:t xml:space="preserve">Deróguese íntegramente </w:t>
      </w:r>
      <w:r w:rsidR="002A5DDA" w:rsidRPr="00EC663B">
        <w:rPr>
          <w:rFonts w:ascii="Bookman Old Style" w:hAnsi="Bookman Old Style"/>
          <w:sz w:val="24"/>
          <w:szCs w:val="24"/>
          <w:lang w:val="es-MX"/>
        </w:rPr>
        <w:t>e</w:t>
      </w:r>
      <w:r w:rsidR="00B372D0" w:rsidRPr="00EC663B">
        <w:rPr>
          <w:rFonts w:ascii="Bookman Old Style" w:hAnsi="Bookman Old Style"/>
          <w:sz w:val="24"/>
          <w:szCs w:val="24"/>
          <w:lang w:val="es-MX"/>
        </w:rPr>
        <w:t>l artículo</w:t>
      </w:r>
      <w:r w:rsidR="002A5DDA" w:rsidRPr="00EC663B">
        <w:rPr>
          <w:rFonts w:ascii="Bookman Old Style" w:hAnsi="Bookman Old Style"/>
          <w:sz w:val="24"/>
          <w:szCs w:val="24"/>
          <w:lang w:val="es-MX"/>
        </w:rPr>
        <w:t xml:space="preserve"> </w:t>
      </w:r>
      <w:r w:rsidR="00B372D0" w:rsidRPr="00EC663B">
        <w:rPr>
          <w:rFonts w:ascii="Bookman Old Style" w:hAnsi="Bookman Old Style"/>
          <w:sz w:val="24"/>
          <w:szCs w:val="24"/>
          <w:lang w:val="es-MX"/>
        </w:rPr>
        <w:t>86</w:t>
      </w:r>
      <w:r w:rsidR="002A5DDA" w:rsidRPr="00EC663B">
        <w:rPr>
          <w:rFonts w:ascii="Bookman Old Style" w:hAnsi="Bookman Old Style"/>
          <w:sz w:val="24"/>
          <w:szCs w:val="24"/>
          <w:lang w:val="es-MX"/>
        </w:rPr>
        <w:t xml:space="preserve"> </w:t>
      </w:r>
      <w:r w:rsidR="00B372D0" w:rsidRPr="00EC663B">
        <w:rPr>
          <w:rFonts w:ascii="Bookman Old Style" w:hAnsi="Bookman Old Style"/>
          <w:sz w:val="24"/>
          <w:szCs w:val="24"/>
          <w:lang w:val="es-MX"/>
        </w:rPr>
        <w:t xml:space="preserve">de la Primera Reforma a la Ordenanza Sustitutiva de la Ordenanza para la Gestión Integral de Residuos Sólidos del Cantón Guaranda, así como cualquier otra disposición de igual o inferior jerarquía que se oponga a lo establecido en la presente reforma. Las disposiciones complementarias que no contradigan su contenido permanecerán vigentes y serán </w:t>
      </w:r>
    </w:p>
    <w:p w14:paraId="13C5C1B3"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aplicadas en lo que corresponda. </w:t>
      </w:r>
    </w:p>
    <w:p w14:paraId="24A4AB86" w14:textId="77777777" w:rsidR="00B372D0" w:rsidRPr="00EC663B" w:rsidRDefault="00B372D0" w:rsidP="00B41EFC">
      <w:pPr>
        <w:spacing w:after="0" w:line="360" w:lineRule="auto"/>
        <w:jc w:val="both"/>
        <w:rPr>
          <w:rFonts w:ascii="Bookman Old Style" w:hAnsi="Bookman Old Style"/>
          <w:sz w:val="24"/>
          <w:szCs w:val="24"/>
          <w:lang w:val="es-MX"/>
        </w:rPr>
      </w:pPr>
      <w:r w:rsidRPr="00EC663B">
        <w:rPr>
          <w:rFonts w:ascii="Bookman Old Style" w:hAnsi="Bookman Old Style"/>
          <w:sz w:val="24"/>
          <w:szCs w:val="24"/>
          <w:lang w:val="es-MX"/>
        </w:rPr>
        <w:t xml:space="preserve"> </w:t>
      </w:r>
    </w:p>
    <w:p w14:paraId="5C54EFB2" w14:textId="77777777" w:rsidR="00B372D0" w:rsidRPr="00EC663B" w:rsidRDefault="00B372D0" w:rsidP="00B41EFC">
      <w:pPr>
        <w:spacing w:after="0" w:line="360" w:lineRule="auto"/>
        <w:jc w:val="center"/>
        <w:rPr>
          <w:rFonts w:ascii="Bookman Old Style" w:hAnsi="Bookman Old Style"/>
          <w:b/>
          <w:sz w:val="24"/>
          <w:szCs w:val="24"/>
          <w:lang w:val="es-MX"/>
        </w:rPr>
      </w:pPr>
      <w:r w:rsidRPr="00EC663B">
        <w:rPr>
          <w:rFonts w:ascii="Bookman Old Style" w:hAnsi="Bookman Old Style"/>
          <w:b/>
          <w:sz w:val="24"/>
          <w:szCs w:val="24"/>
          <w:lang w:val="es-MX"/>
        </w:rPr>
        <w:t>DISPOSICIONES FINALES</w:t>
      </w:r>
    </w:p>
    <w:p w14:paraId="417C6C76" w14:textId="77777777" w:rsidR="00B372D0" w:rsidRPr="00EC663B" w:rsidRDefault="00B372D0" w:rsidP="00B41EFC">
      <w:pPr>
        <w:spacing w:after="0" w:line="360" w:lineRule="auto"/>
        <w:jc w:val="both"/>
        <w:rPr>
          <w:rFonts w:ascii="Bookman Old Style" w:hAnsi="Bookman Old Style"/>
          <w:sz w:val="24"/>
          <w:szCs w:val="24"/>
          <w:lang w:val="es-MX"/>
        </w:rPr>
      </w:pPr>
      <w:r w:rsidRPr="00EC663B">
        <w:rPr>
          <w:rFonts w:ascii="Bookman Old Style" w:hAnsi="Bookman Old Style"/>
          <w:b/>
          <w:sz w:val="24"/>
          <w:szCs w:val="24"/>
          <w:lang w:val="es-MX"/>
        </w:rPr>
        <w:t>Primera</w:t>
      </w:r>
      <w:r w:rsidRPr="00EC663B">
        <w:rPr>
          <w:rFonts w:ascii="Bookman Old Style" w:hAnsi="Bookman Old Style"/>
          <w:sz w:val="24"/>
          <w:szCs w:val="24"/>
          <w:lang w:val="es-MX"/>
        </w:rPr>
        <w:t xml:space="preserve">. – La presente Ordenanza entrará en vigencia a partir de la fecha de su aprobación por el Consejo Municipal y debidamente sancionada por el ejecutivo del Gobierno Autónomo descentralizado del Cantón Guaranda sin perjuicio de su publicación en la Gaceta oficial, la página web Institucional y registro Oficial.  </w:t>
      </w:r>
    </w:p>
    <w:p w14:paraId="5D59BAD0" w14:textId="77777777" w:rsidR="00B372D0" w:rsidRPr="00EC663B" w:rsidRDefault="00B372D0" w:rsidP="00B41EFC">
      <w:pPr>
        <w:spacing w:after="0" w:line="360" w:lineRule="auto"/>
        <w:ind w:left="721"/>
        <w:jc w:val="both"/>
        <w:rPr>
          <w:rFonts w:ascii="Bookman Old Style" w:hAnsi="Bookman Old Style"/>
          <w:sz w:val="24"/>
          <w:szCs w:val="24"/>
          <w:lang w:val="es-MX"/>
        </w:rPr>
      </w:pPr>
      <w:r w:rsidRPr="00EC663B">
        <w:rPr>
          <w:rFonts w:ascii="Bookman Old Style" w:hAnsi="Bookman Old Style"/>
          <w:sz w:val="24"/>
          <w:szCs w:val="24"/>
          <w:lang w:val="es-MX"/>
        </w:rPr>
        <w:t xml:space="preserve"> </w:t>
      </w:r>
    </w:p>
    <w:p w14:paraId="5660B67F"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b/>
          <w:sz w:val="24"/>
          <w:szCs w:val="24"/>
          <w:lang w:val="es-MX"/>
        </w:rPr>
        <w:lastRenderedPageBreak/>
        <w:t>Segunda</w:t>
      </w:r>
      <w:r w:rsidRPr="00EC663B">
        <w:rPr>
          <w:rFonts w:ascii="Bookman Old Style" w:hAnsi="Bookman Old Style"/>
          <w:sz w:val="24"/>
          <w:szCs w:val="24"/>
          <w:lang w:val="es-MX"/>
        </w:rPr>
        <w:t xml:space="preserve">. – La Alcaldía, mediante acuerdos o resoluciones, emitirá las disposiciones necesarias para el desarrollo, interpretación y correcta </w:t>
      </w:r>
    </w:p>
    <w:p w14:paraId="5746066B" w14:textId="77777777" w:rsidR="00B372D0" w:rsidRPr="00EC663B" w:rsidRDefault="00B372D0" w:rsidP="00B41EFC">
      <w:pPr>
        <w:spacing w:after="0" w:line="360" w:lineRule="auto"/>
        <w:ind w:left="-5" w:right="18"/>
        <w:jc w:val="both"/>
        <w:rPr>
          <w:rFonts w:ascii="Bookman Old Style" w:hAnsi="Bookman Old Style"/>
          <w:sz w:val="24"/>
          <w:szCs w:val="24"/>
          <w:lang w:val="es-MX"/>
        </w:rPr>
      </w:pPr>
      <w:r w:rsidRPr="00EC663B">
        <w:rPr>
          <w:rFonts w:ascii="Bookman Old Style" w:hAnsi="Bookman Old Style"/>
          <w:sz w:val="24"/>
          <w:szCs w:val="24"/>
          <w:lang w:val="es-MX"/>
        </w:rPr>
        <w:t xml:space="preserve">aplicación de la presente Ordenanza, garantizando su adecuada ejecución administrativa y operativa. </w:t>
      </w:r>
    </w:p>
    <w:sectPr w:rsidR="00B372D0" w:rsidRPr="00EC663B" w:rsidSect="00E15236">
      <w:headerReference w:type="default" r:id="rId8"/>
      <w:footerReference w:type="default" r:id="rId9"/>
      <w:pgSz w:w="11906" w:h="16838"/>
      <w:pgMar w:top="1985"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ED2E" w14:textId="77777777" w:rsidR="004222CB" w:rsidRDefault="004222CB" w:rsidP="00395B22">
      <w:pPr>
        <w:spacing w:after="0" w:line="240" w:lineRule="auto"/>
      </w:pPr>
      <w:r>
        <w:separator/>
      </w:r>
    </w:p>
  </w:endnote>
  <w:endnote w:type="continuationSeparator" w:id="0">
    <w:p w14:paraId="62490063" w14:textId="77777777" w:rsidR="004222CB" w:rsidRDefault="004222CB" w:rsidP="0039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Calibri"/>
    <w:charset w:val="00"/>
    <w:family w:val="auto"/>
    <w:pitch w:val="variable"/>
    <w:sig w:usb0="00000001"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F0D" w14:textId="1BFC787A" w:rsidR="00262B54" w:rsidRDefault="00262B54">
    <w:pPr>
      <w:pStyle w:val="Piedepgina"/>
    </w:pPr>
    <w:r w:rsidRPr="00B7465C">
      <w:rPr>
        <w:rFonts w:ascii="Gilroy-SemiBold" w:hAnsi="Gilroy-SemiBold"/>
        <w:noProof/>
        <w:color w:val="1F3864" w:themeColor="accent1" w:themeShade="80"/>
        <w:lang w:val="en-US"/>
      </w:rPr>
      <w:drawing>
        <wp:anchor distT="0" distB="0" distL="114300" distR="114300" simplePos="0" relativeHeight="251664384" behindDoc="1" locked="0" layoutInCell="1" allowOverlap="1" wp14:anchorId="79E8ED7C" wp14:editId="430092D7">
          <wp:simplePos x="0" y="0"/>
          <wp:positionH relativeFrom="page">
            <wp:align>left</wp:align>
          </wp:positionH>
          <wp:positionV relativeFrom="paragraph">
            <wp:posOffset>-746760</wp:posOffset>
          </wp:positionV>
          <wp:extent cx="7551457" cy="1553845"/>
          <wp:effectExtent l="0" t="0" r="0" b="8255"/>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6552" w14:textId="77777777" w:rsidR="004222CB" w:rsidRDefault="004222CB" w:rsidP="00395B22">
      <w:pPr>
        <w:spacing w:after="0" w:line="240" w:lineRule="auto"/>
      </w:pPr>
      <w:r>
        <w:separator/>
      </w:r>
    </w:p>
  </w:footnote>
  <w:footnote w:type="continuationSeparator" w:id="0">
    <w:p w14:paraId="74AD1D79" w14:textId="77777777" w:rsidR="004222CB" w:rsidRDefault="004222CB" w:rsidP="0039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1D79" w14:textId="4AE71DD0" w:rsidR="00262B54" w:rsidRDefault="00262B54" w:rsidP="00DE1B27">
    <w:pPr>
      <w:pStyle w:val="NormalWeb"/>
    </w:pPr>
    <w:r>
      <w:rPr>
        <w:noProof/>
        <w:lang w:val="en-US" w:eastAsia="en-US"/>
      </w:rPr>
      <w:drawing>
        <wp:anchor distT="0" distB="0" distL="114300" distR="114300" simplePos="0" relativeHeight="251667456" behindDoc="1" locked="0" layoutInCell="1" allowOverlap="1" wp14:anchorId="093B7C6E" wp14:editId="085FD399">
          <wp:simplePos x="0" y="0"/>
          <wp:positionH relativeFrom="column">
            <wp:posOffset>3064510</wp:posOffset>
          </wp:positionH>
          <wp:positionV relativeFrom="paragraph">
            <wp:posOffset>253307</wp:posOffset>
          </wp:positionV>
          <wp:extent cx="3269615" cy="41465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1312" behindDoc="1" locked="0" layoutInCell="1" allowOverlap="1" wp14:anchorId="2E462B1C" wp14:editId="7FC1AE22">
          <wp:simplePos x="0" y="0"/>
          <wp:positionH relativeFrom="column">
            <wp:posOffset>729904</wp:posOffset>
          </wp:positionH>
          <wp:positionV relativeFrom="paragraph">
            <wp:posOffset>167871</wp:posOffset>
          </wp:positionV>
          <wp:extent cx="1405255" cy="7600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2336" behindDoc="1" locked="0" layoutInCell="1" allowOverlap="1" wp14:anchorId="0A00BD41" wp14:editId="44424B7B">
          <wp:simplePos x="0" y="0"/>
          <wp:positionH relativeFrom="margin">
            <wp:posOffset>1999615</wp:posOffset>
          </wp:positionH>
          <wp:positionV relativeFrom="paragraph">
            <wp:posOffset>174683</wp:posOffset>
          </wp:positionV>
          <wp:extent cx="448310" cy="671195"/>
          <wp:effectExtent l="0" t="0" r="889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lang w:val="en-US" w:eastAsia="en-US"/>
      </w:rPr>
      <w:drawing>
        <wp:anchor distT="0" distB="0" distL="114300" distR="114300" simplePos="0" relativeHeight="251659264" behindDoc="1" locked="0" layoutInCell="1" allowOverlap="1" wp14:anchorId="2CFAA500" wp14:editId="3E5694B6">
          <wp:simplePos x="0" y="0"/>
          <wp:positionH relativeFrom="page">
            <wp:posOffset>80010</wp:posOffset>
          </wp:positionH>
          <wp:positionV relativeFrom="paragraph">
            <wp:posOffset>122959</wp:posOffset>
          </wp:positionV>
          <wp:extent cx="2120900" cy="7143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2C1EF1AE" w14:textId="4486870A" w:rsidR="00262B54" w:rsidRDefault="00262B54" w:rsidP="00395B22">
    <w:pPr>
      <w:pStyle w:val="Encabezado"/>
    </w:pPr>
    <w:r>
      <w:t xml:space="preserve"> </w:t>
    </w:r>
  </w:p>
  <w:p w14:paraId="3A2A7614" w14:textId="77F75722" w:rsidR="00262B54" w:rsidRDefault="00262B54" w:rsidP="00395B22">
    <w:pPr>
      <w:pStyle w:val="Encabezado"/>
    </w:pPr>
    <w:r>
      <w:rPr>
        <w:noProof/>
        <w:lang w:val="en-US"/>
      </w:rPr>
      <w:drawing>
        <wp:anchor distT="0" distB="0" distL="114300" distR="114300" simplePos="0" relativeHeight="251666432" behindDoc="0" locked="0" layoutInCell="1" allowOverlap="1" wp14:anchorId="69B50149" wp14:editId="67A7B4E7">
          <wp:simplePos x="0" y="0"/>
          <wp:positionH relativeFrom="column">
            <wp:posOffset>4699000</wp:posOffset>
          </wp:positionH>
          <wp:positionV relativeFrom="paragraph">
            <wp:posOffset>62807</wp:posOffset>
          </wp:positionV>
          <wp:extent cx="1542415" cy="293370"/>
          <wp:effectExtent l="0" t="0" r="63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C85927" w14:textId="77777777" w:rsidR="00262B54" w:rsidRDefault="00262B54">
    <w:pPr>
      <w:pStyle w:val="Encabezado"/>
      <w:rPr>
        <w:noProof/>
        <w:lang w:val="en-US"/>
      </w:rPr>
    </w:pPr>
  </w:p>
  <w:p w14:paraId="58250542" w14:textId="77E1F0F7" w:rsidR="00262B54" w:rsidRDefault="00262B54" w:rsidP="00E15236">
    <w:pPr>
      <w:pStyle w:val="Encabezado"/>
      <w:tabs>
        <w:tab w:val="clear" w:pos="4252"/>
        <w:tab w:val="clear" w:pos="8504"/>
      </w:tabs>
      <w:ind w:left="7080" w:right="-1135"/>
      <w:rPr>
        <w:rFonts w:ascii="Bookman Old Style" w:hAnsi="Bookman Old Style"/>
        <w:b/>
        <w:color w:val="44546A" w:themeColor="text2"/>
        <w:sz w:val="20"/>
        <w:szCs w:val="20"/>
      </w:rPr>
    </w:pPr>
    <w:r w:rsidRPr="00E15236">
      <w:rPr>
        <w:rFonts w:ascii="Bookman Old Style" w:hAnsi="Bookman Old Style"/>
        <w:b/>
        <w:noProof/>
        <w:color w:val="44546A" w:themeColor="text2"/>
        <w:sz w:val="20"/>
        <w:szCs w:val="20"/>
        <w:lang w:val="en-US"/>
      </w:rPr>
      <w:drawing>
        <wp:anchor distT="0" distB="0" distL="114300" distR="114300" simplePos="0" relativeHeight="251671552" behindDoc="1" locked="0" layoutInCell="1" allowOverlap="1" wp14:anchorId="160D3A52" wp14:editId="6C7C4111">
          <wp:simplePos x="0" y="0"/>
          <wp:positionH relativeFrom="margin">
            <wp:align>right</wp:align>
          </wp:positionH>
          <wp:positionV relativeFrom="paragraph">
            <wp:posOffset>4234180</wp:posOffset>
          </wp:positionV>
          <wp:extent cx="2557145" cy="49530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lum bright="70000" contrast="-70000"/>
                    <a:extLst>
                      <a:ext uri="{28A0092B-C50C-407E-A947-70E740481C1C}">
                        <a14:useLocalDpi xmlns:a14="http://schemas.microsoft.com/office/drawing/2010/main" val="0"/>
                      </a:ext>
                    </a:extLst>
                  </a:blip>
                  <a:srcRect t="63739" r="43642" b="-1"/>
                  <a:stretch/>
                </pic:blipFill>
                <pic:spPr bwMode="auto">
                  <a:xfrm>
                    <a:off x="0" y="0"/>
                    <a:ext cx="25571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5236">
      <w:rPr>
        <w:rFonts w:ascii="Bookman Old Style" w:hAnsi="Bookman Old Style"/>
        <w:b/>
        <w:noProof/>
        <w:color w:val="44546A" w:themeColor="text2"/>
        <w:sz w:val="20"/>
        <w:szCs w:val="20"/>
        <w:lang w:val="en-US"/>
      </w:rPr>
      <w:drawing>
        <wp:anchor distT="0" distB="0" distL="114300" distR="114300" simplePos="0" relativeHeight="251669504" behindDoc="1" locked="0" layoutInCell="1" allowOverlap="1" wp14:anchorId="4C325CFF" wp14:editId="670CFF6A">
          <wp:simplePos x="0" y="0"/>
          <wp:positionH relativeFrom="margin">
            <wp:posOffset>-60960</wp:posOffset>
          </wp:positionH>
          <wp:positionV relativeFrom="paragraph">
            <wp:posOffset>3725545</wp:posOffset>
          </wp:positionV>
          <wp:extent cx="5744845" cy="72961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t="41943" b="45801"/>
                  <a:stretch/>
                </pic:blipFill>
                <pic:spPr bwMode="auto">
                  <a:xfrm>
                    <a:off x="0" y="0"/>
                    <a:ext cx="574484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5236">
      <w:rPr>
        <w:rFonts w:ascii="Bookman Old Style" w:hAnsi="Bookman Old Style"/>
        <w:b/>
        <w:color w:val="44546A" w:themeColor="text2"/>
        <w:sz w:val="20"/>
        <w:szCs w:val="20"/>
      </w:rPr>
      <w:t xml:space="preserve">DIANA ARREGUI VELA </w:t>
    </w:r>
  </w:p>
  <w:p w14:paraId="508A841B" w14:textId="22928093" w:rsidR="00262B54" w:rsidRPr="00E15236" w:rsidRDefault="00262B54" w:rsidP="00E15236">
    <w:pPr>
      <w:pStyle w:val="Encabezado"/>
      <w:tabs>
        <w:tab w:val="clear" w:pos="4252"/>
        <w:tab w:val="clear" w:pos="8504"/>
      </w:tabs>
      <w:ind w:left="7080" w:right="-1135"/>
      <w:rPr>
        <w:rFonts w:ascii="Bookman Old Style" w:hAnsi="Bookman Old Style"/>
        <w:b/>
        <w:color w:val="44546A" w:themeColor="text2"/>
        <w:sz w:val="20"/>
        <w:szCs w:val="20"/>
      </w:rPr>
    </w:pPr>
    <w:r>
      <w:rPr>
        <w:rFonts w:ascii="Bookman Old Style" w:hAnsi="Bookman Old Style"/>
        <w:b/>
        <w:color w:val="44546A" w:themeColor="text2"/>
        <w:sz w:val="20"/>
        <w:szCs w:val="20"/>
      </w:rPr>
      <w:t xml:space="preserve">   </w:t>
    </w:r>
    <w:r>
      <w:rPr>
        <w:rFonts w:ascii="Bookman Old Style" w:hAnsi="Bookman Old Style"/>
        <w:b/>
        <w:color w:val="44546A" w:themeColor="text2"/>
        <w:sz w:val="20"/>
        <w:szCs w:val="20"/>
      </w:rPr>
      <w:tab/>
      <w:t xml:space="preserve">       </w:t>
    </w:r>
    <w:r w:rsidRPr="00E15236">
      <w:rPr>
        <w:rFonts w:ascii="Bookman Old Style" w:hAnsi="Bookman Old Style"/>
        <w:b/>
        <w:color w:val="44546A" w:themeColor="text2"/>
        <w:sz w:val="20"/>
        <w:szCs w:val="20"/>
      </w:rPr>
      <w:t>CONCEJAL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AA5"/>
    <w:multiLevelType w:val="hybridMultilevel"/>
    <w:tmpl w:val="CA50128E"/>
    <w:lvl w:ilvl="0" w:tplc="0B063AAA">
      <w:start w:val="1"/>
      <w:numFmt w:val="decimal"/>
      <w:lvlText w:val="%1."/>
      <w:lvlJc w:val="left"/>
      <w:pPr>
        <w:ind w:left="1952" w:hanging="720"/>
      </w:pPr>
      <w:rPr>
        <w:rFonts w:hint="default"/>
      </w:rPr>
    </w:lvl>
    <w:lvl w:ilvl="1" w:tplc="300A0019" w:tentative="1">
      <w:start w:val="1"/>
      <w:numFmt w:val="lowerLetter"/>
      <w:lvlText w:val="%2."/>
      <w:lvlJc w:val="left"/>
      <w:pPr>
        <w:ind w:left="2312" w:hanging="360"/>
      </w:pPr>
    </w:lvl>
    <w:lvl w:ilvl="2" w:tplc="300A001B" w:tentative="1">
      <w:start w:val="1"/>
      <w:numFmt w:val="lowerRoman"/>
      <w:lvlText w:val="%3."/>
      <w:lvlJc w:val="right"/>
      <w:pPr>
        <w:ind w:left="3032" w:hanging="180"/>
      </w:pPr>
    </w:lvl>
    <w:lvl w:ilvl="3" w:tplc="300A000F" w:tentative="1">
      <w:start w:val="1"/>
      <w:numFmt w:val="decimal"/>
      <w:lvlText w:val="%4."/>
      <w:lvlJc w:val="left"/>
      <w:pPr>
        <w:ind w:left="3752" w:hanging="360"/>
      </w:pPr>
    </w:lvl>
    <w:lvl w:ilvl="4" w:tplc="300A0019" w:tentative="1">
      <w:start w:val="1"/>
      <w:numFmt w:val="lowerLetter"/>
      <w:lvlText w:val="%5."/>
      <w:lvlJc w:val="left"/>
      <w:pPr>
        <w:ind w:left="4472" w:hanging="360"/>
      </w:pPr>
    </w:lvl>
    <w:lvl w:ilvl="5" w:tplc="300A001B" w:tentative="1">
      <w:start w:val="1"/>
      <w:numFmt w:val="lowerRoman"/>
      <w:lvlText w:val="%6."/>
      <w:lvlJc w:val="right"/>
      <w:pPr>
        <w:ind w:left="5192" w:hanging="180"/>
      </w:pPr>
    </w:lvl>
    <w:lvl w:ilvl="6" w:tplc="300A000F" w:tentative="1">
      <w:start w:val="1"/>
      <w:numFmt w:val="decimal"/>
      <w:lvlText w:val="%7."/>
      <w:lvlJc w:val="left"/>
      <w:pPr>
        <w:ind w:left="5912" w:hanging="360"/>
      </w:pPr>
    </w:lvl>
    <w:lvl w:ilvl="7" w:tplc="300A0019" w:tentative="1">
      <w:start w:val="1"/>
      <w:numFmt w:val="lowerLetter"/>
      <w:lvlText w:val="%8."/>
      <w:lvlJc w:val="left"/>
      <w:pPr>
        <w:ind w:left="6632" w:hanging="360"/>
      </w:pPr>
    </w:lvl>
    <w:lvl w:ilvl="8" w:tplc="300A001B" w:tentative="1">
      <w:start w:val="1"/>
      <w:numFmt w:val="lowerRoman"/>
      <w:lvlText w:val="%9."/>
      <w:lvlJc w:val="right"/>
      <w:pPr>
        <w:ind w:left="7352" w:hanging="180"/>
      </w:pPr>
    </w:lvl>
  </w:abstractNum>
  <w:abstractNum w:abstractNumId="1" w15:restartNumberingAfterBreak="0">
    <w:nsid w:val="1BBA6680"/>
    <w:multiLevelType w:val="hybridMultilevel"/>
    <w:tmpl w:val="1B1AFFA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1D0455E0"/>
    <w:multiLevelType w:val="hybridMultilevel"/>
    <w:tmpl w:val="92DA627A"/>
    <w:lvl w:ilvl="0" w:tplc="04090017">
      <w:start w:val="1"/>
      <w:numFmt w:val="lowerLetter"/>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 w15:restartNumberingAfterBreak="0">
    <w:nsid w:val="251E2C0F"/>
    <w:multiLevelType w:val="hybridMultilevel"/>
    <w:tmpl w:val="E6307544"/>
    <w:lvl w:ilvl="0" w:tplc="300A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4" w15:restartNumberingAfterBreak="0">
    <w:nsid w:val="261D501F"/>
    <w:multiLevelType w:val="hybridMultilevel"/>
    <w:tmpl w:val="6A303550"/>
    <w:lvl w:ilvl="0" w:tplc="A11C527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A5CE1"/>
    <w:multiLevelType w:val="hybridMultilevel"/>
    <w:tmpl w:val="F8662A4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37CF434A"/>
    <w:multiLevelType w:val="hybridMultilevel"/>
    <w:tmpl w:val="5C4AD4BA"/>
    <w:lvl w:ilvl="0" w:tplc="300A0001">
      <w:start w:val="1"/>
      <w:numFmt w:val="bullet"/>
      <w:lvlText w:val=""/>
      <w:lvlJc w:val="left"/>
      <w:pPr>
        <w:ind w:left="705" w:hanging="360"/>
      </w:pPr>
      <w:rPr>
        <w:rFonts w:ascii="Symbol" w:hAnsi="Symbol" w:hint="default"/>
      </w:rPr>
    </w:lvl>
    <w:lvl w:ilvl="1" w:tplc="300A0003" w:tentative="1">
      <w:start w:val="1"/>
      <w:numFmt w:val="bullet"/>
      <w:lvlText w:val="o"/>
      <w:lvlJc w:val="left"/>
      <w:pPr>
        <w:ind w:left="1425" w:hanging="360"/>
      </w:pPr>
      <w:rPr>
        <w:rFonts w:ascii="Courier New" w:hAnsi="Courier New" w:cs="Courier New" w:hint="default"/>
      </w:rPr>
    </w:lvl>
    <w:lvl w:ilvl="2" w:tplc="300A0005" w:tentative="1">
      <w:start w:val="1"/>
      <w:numFmt w:val="bullet"/>
      <w:lvlText w:val=""/>
      <w:lvlJc w:val="left"/>
      <w:pPr>
        <w:ind w:left="2145" w:hanging="360"/>
      </w:pPr>
      <w:rPr>
        <w:rFonts w:ascii="Wingdings" w:hAnsi="Wingdings" w:hint="default"/>
      </w:rPr>
    </w:lvl>
    <w:lvl w:ilvl="3" w:tplc="300A0001" w:tentative="1">
      <w:start w:val="1"/>
      <w:numFmt w:val="bullet"/>
      <w:lvlText w:val=""/>
      <w:lvlJc w:val="left"/>
      <w:pPr>
        <w:ind w:left="2865" w:hanging="360"/>
      </w:pPr>
      <w:rPr>
        <w:rFonts w:ascii="Symbol" w:hAnsi="Symbol" w:hint="default"/>
      </w:rPr>
    </w:lvl>
    <w:lvl w:ilvl="4" w:tplc="300A0003" w:tentative="1">
      <w:start w:val="1"/>
      <w:numFmt w:val="bullet"/>
      <w:lvlText w:val="o"/>
      <w:lvlJc w:val="left"/>
      <w:pPr>
        <w:ind w:left="3585" w:hanging="360"/>
      </w:pPr>
      <w:rPr>
        <w:rFonts w:ascii="Courier New" w:hAnsi="Courier New" w:cs="Courier New" w:hint="default"/>
      </w:rPr>
    </w:lvl>
    <w:lvl w:ilvl="5" w:tplc="300A0005" w:tentative="1">
      <w:start w:val="1"/>
      <w:numFmt w:val="bullet"/>
      <w:lvlText w:val=""/>
      <w:lvlJc w:val="left"/>
      <w:pPr>
        <w:ind w:left="4305" w:hanging="360"/>
      </w:pPr>
      <w:rPr>
        <w:rFonts w:ascii="Wingdings" w:hAnsi="Wingdings" w:hint="default"/>
      </w:rPr>
    </w:lvl>
    <w:lvl w:ilvl="6" w:tplc="300A0001" w:tentative="1">
      <w:start w:val="1"/>
      <w:numFmt w:val="bullet"/>
      <w:lvlText w:val=""/>
      <w:lvlJc w:val="left"/>
      <w:pPr>
        <w:ind w:left="5025" w:hanging="360"/>
      </w:pPr>
      <w:rPr>
        <w:rFonts w:ascii="Symbol" w:hAnsi="Symbol" w:hint="default"/>
      </w:rPr>
    </w:lvl>
    <w:lvl w:ilvl="7" w:tplc="300A0003" w:tentative="1">
      <w:start w:val="1"/>
      <w:numFmt w:val="bullet"/>
      <w:lvlText w:val="o"/>
      <w:lvlJc w:val="left"/>
      <w:pPr>
        <w:ind w:left="5745" w:hanging="360"/>
      </w:pPr>
      <w:rPr>
        <w:rFonts w:ascii="Courier New" w:hAnsi="Courier New" w:cs="Courier New" w:hint="default"/>
      </w:rPr>
    </w:lvl>
    <w:lvl w:ilvl="8" w:tplc="300A0005" w:tentative="1">
      <w:start w:val="1"/>
      <w:numFmt w:val="bullet"/>
      <w:lvlText w:val=""/>
      <w:lvlJc w:val="left"/>
      <w:pPr>
        <w:ind w:left="6465" w:hanging="360"/>
      </w:pPr>
      <w:rPr>
        <w:rFonts w:ascii="Wingdings" w:hAnsi="Wingdings" w:hint="default"/>
      </w:rPr>
    </w:lvl>
  </w:abstractNum>
  <w:abstractNum w:abstractNumId="7" w15:restartNumberingAfterBreak="0">
    <w:nsid w:val="46BB3A48"/>
    <w:multiLevelType w:val="hybridMultilevel"/>
    <w:tmpl w:val="5DDACA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E597E23"/>
    <w:multiLevelType w:val="hybridMultilevel"/>
    <w:tmpl w:val="AF70F6F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575B1945"/>
    <w:multiLevelType w:val="hybridMultilevel"/>
    <w:tmpl w:val="3E049410"/>
    <w:lvl w:ilvl="0" w:tplc="300A0001">
      <w:start w:val="1"/>
      <w:numFmt w:val="bullet"/>
      <w:lvlText w:val=""/>
      <w:lvlJc w:val="left"/>
      <w:pPr>
        <w:ind w:left="705" w:hanging="360"/>
      </w:pPr>
      <w:rPr>
        <w:rFonts w:ascii="Symbol" w:hAnsi="Symbol" w:hint="default"/>
      </w:rPr>
    </w:lvl>
    <w:lvl w:ilvl="1" w:tplc="300A0003" w:tentative="1">
      <w:start w:val="1"/>
      <w:numFmt w:val="bullet"/>
      <w:lvlText w:val="o"/>
      <w:lvlJc w:val="left"/>
      <w:pPr>
        <w:ind w:left="1425" w:hanging="360"/>
      </w:pPr>
      <w:rPr>
        <w:rFonts w:ascii="Courier New" w:hAnsi="Courier New" w:cs="Courier New" w:hint="default"/>
      </w:rPr>
    </w:lvl>
    <w:lvl w:ilvl="2" w:tplc="300A0005" w:tentative="1">
      <w:start w:val="1"/>
      <w:numFmt w:val="bullet"/>
      <w:lvlText w:val=""/>
      <w:lvlJc w:val="left"/>
      <w:pPr>
        <w:ind w:left="2145" w:hanging="360"/>
      </w:pPr>
      <w:rPr>
        <w:rFonts w:ascii="Wingdings" w:hAnsi="Wingdings" w:hint="default"/>
      </w:rPr>
    </w:lvl>
    <w:lvl w:ilvl="3" w:tplc="300A0001" w:tentative="1">
      <w:start w:val="1"/>
      <w:numFmt w:val="bullet"/>
      <w:lvlText w:val=""/>
      <w:lvlJc w:val="left"/>
      <w:pPr>
        <w:ind w:left="2865" w:hanging="360"/>
      </w:pPr>
      <w:rPr>
        <w:rFonts w:ascii="Symbol" w:hAnsi="Symbol" w:hint="default"/>
      </w:rPr>
    </w:lvl>
    <w:lvl w:ilvl="4" w:tplc="300A0003" w:tentative="1">
      <w:start w:val="1"/>
      <w:numFmt w:val="bullet"/>
      <w:lvlText w:val="o"/>
      <w:lvlJc w:val="left"/>
      <w:pPr>
        <w:ind w:left="3585" w:hanging="360"/>
      </w:pPr>
      <w:rPr>
        <w:rFonts w:ascii="Courier New" w:hAnsi="Courier New" w:cs="Courier New" w:hint="default"/>
      </w:rPr>
    </w:lvl>
    <w:lvl w:ilvl="5" w:tplc="300A0005" w:tentative="1">
      <w:start w:val="1"/>
      <w:numFmt w:val="bullet"/>
      <w:lvlText w:val=""/>
      <w:lvlJc w:val="left"/>
      <w:pPr>
        <w:ind w:left="4305" w:hanging="360"/>
      </w:pPr>
      <w:rPr>
        <w:rFonts w:ascii="Wingdings" w:hAnsi="Wingdings" w:hint="default"/>
      </w:rPr>
    </w:lvl>
    <w:lvl w:ilvl="6" w:tplc="300A0001" w:tentative="1">
      <w:start w:val="1"/>
      <w:numFmt w:val="bullet"/>
      <w:lvlText w:val=""/>
      <w:lvlJc w:val="left"/>
      <w:pPr>
        <w:ind w:left="5025" w:hanging="360"/>
      </w:pPr>
      <w:rPr>
        <w:rFonts w:ascii="Symbol" w:hAnsi="Symbol" w:hint="default"/>
      </w:rPr>
    </w:lvl>
    <w:lvl w:ilvl="7" w:tplc="300A0003" w:tentative="1">
      <w:start w:val="1"/>
      <w:numFmt w:val="bullet"/>
      <w:lvlText w:val="o"/>
      <w:lvlJc w:val="left"/>
      <w:pPr>
        <w:ind w:left="5745" w:hanging="360"/>
      </w:pPr>
      <w:rPr>
        <w:rFonts w:ascii="Courier New" w:hAnsi="Courier New" w:cs="Courier New" w:hint="default"/>
      </w:rPr>
    </w:lvl>
    <w:lvl w:ilvl="8" w:tplc="300A0005" w:tentative="1">
      <w:start w:val="1"/>
      <w:numFmt w:val="bullet"/>
      <w:lvlText w:val=""/>
      <w:lvlJc w:val="left"/>
      <w:pPr>
        <w:ind w:left="6465" w:hanging="360"/>
      </w:pPr>
      <w:rPr>
        <w:rFonts w:ascii="Wingdings" w:hAnsi="Wingdings" w:hint="default"/>
      </w:rPr>
    </w:lvl>
  </w:abstractNum>
  <w:abstractNum w:abstractNumId="10" w15:restartNumberingAfterBreak="0">
    <w:nsid w:val="57970FC6"/>
    <w:multiLevelType w:val="hybridMultilevel"/>
    <w:tmpl w:val="9D60DEE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5E151C07"/>
    <w:multiLevelType w:val="hybridMultilevel"/>
    <w:tmpl w:val="F072FBC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682B0391"/>
    <w:multiLevelType w:val="hybridMultilevel"/>
    <w:tmpl w:val="038C58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1130CB"/>
    <w:multiLevelType w:val="hybridMultilevel"/>
    <w:tmpl w:val="180AB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D30AC4"/>
    <w:multiLevelType w:val="hybridMultilevel"/>
    <w:tmpl w:val="518CD24A"/>
    <w:lvl w:ilvl="0" w:tplc="ECF4D626">
      <w:start w:val="1"/>
      <w:numFmt w:val="lowerLetter"/>
      <w:lvlText w:val="%1)"/>
      <w:lvlJc w:val="left"/>
      <w:pPr>
        <w:ind w:left="684"/>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FCE6C41C">
      <w:start w:val="1"/>
      <w:numFmt w:val="lowerLetter"/>
      <w:lvlText w:val="%2"/>
      <w:lvlJc w:val="left"/>
      <w:pPr>
        <w:ind w:left="178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1278D7B6">
      <w:start w:val="1"/>
      <w:numFmt w:val="lowerRoman"/>
      <w:lvlText w:val="%3"/>
      <w:lvlJc w:val="left"/>
      <w:pPr>
        <w:ind w:left="250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02943CD2">
      <w:start w:val="1"/>
      <w:numFmt w:val="decimal"/>
      <w:lvlText w:val="%4"/>
      <w:lvlJc w:val="left"/>
      <w:pPr>
        <w:ind w:left="322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CA1AFE22">
      <w:start w:val="1"/>
      <w:numFmt w:val="lowerLetter"/>
      <w:lvlText w:val="%5"/>
      <w:lvlJc w:val="left"/>
      <w:pPr>
        <w:ind w:left="394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F8F0B8FA">
      <w:start w:val="1"/>
      <w:numFmt w:val="lowerRoman"/>
      <w:lvlText w:val="%6"/>
      <w:lvlJc w:val="left"/>
      <w:pPr>
        <w:ind w:left="466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EF1A6FE0">
      <w:start w:val="1"/>
      <w:numFmt w:val="decimal"/>
      <w:lvlText w:val="%7"/>
      <w:lvlJc w:val="left"/>
      <w:pPr>
        <w:ind w:left="538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76A03794">
      <w:start w:val="1"/>
      <w:numFmt w:val="lowerLetter"/>
      <w:lvlText w:val="%8"/>
      <w:lvlJc w:val="left"/>
      <w:pPr>
        <w:ind w:left="610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8A6EFF60">
      <w:start w:val="1"/>
      <w:numFmt w:val="lowerRoman"/>
      <w:lvlText w:val="%9"/>
      <w:lvlJc w:val="left"/>
      <w:pPr>
        <w:ind w:left="6826"/>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C3D0C55"/>
    <w:multiLevelType w:val="hybridMultilevel"/>
    <w:tmpl w:val="A238EF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812134">
    <w:abstractNumId w:val="14"/>
  </w:num>
  <w:num w:numId="2" w16cid:durableId="1863203896">
    <w:abstractNumId w:val="13"/>
  </w:num>
  <w:num w:numId="3" w16cid:durableId="402724228">
    <w:abstractNumId w:val="15"/>
  </w:num>
  <w:num w:numId="4" w16cid:durableId="10185840">
    <w:abstractNumId w:val="2"/>
  </w:num>
  <w:num w:numId="5" w16cid:durableId="2144038522">
    <w:abstractNumId w:val="9"/>
  </w:num>
  <w:num w:numId="6" w16cid:durableId="1834563373">
    <w:abstractNumId w:val="0"/>
  </w:num>
  <w:num w:numId="7" w16cid:durableId="303701222">
    <w:abstractNumId w:val="6"/>
  </w:num>
  <w:num w:numId="8" w16cid:durableId="994988540">
    <w:abstractNumId w:val="1"/>
  </w:num>
  <w:num w:numId="9" w16cid:durableId="885143760">
    <w:abstractNumId w:val="3"/>
  </w:num>
  <w:num w:numId="10" w16cid:durableId="1864050288">
    <w:abstractNumId w:val="11"/>
  </w:num>
  <w:num w:numId="11" w16cid:durableId="1014381378">
    <w:abstractNumId w:val="10"/>
  </w:num>
  <w:num w:numId="12" w16cid:durableId="634140433">
    <w:abstractNumId w:val="7"/>
  </w:num>
  <w:num w:numId="13" w16cid:durableId="773941393">
    <w:abstractNumId w:val="5"/>
  </w:num>
  <w:num w:numId="14" w16cid:durableId="1179193461">
    <w:abstractNumId w:val="8"/>
  </w:num>
  <w:num w:numId="15" w16cid:durableId="88891937">
    <w:abstractNumId w:val="4"/>
  </w:num>
  <w:num w:numId="16" w16cid:durableId="157694117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B22"/>
    <w:rsid w:val="000008BC"/>
    <w:rsid w:val="000018A7"/>
    <w:rsid w:val="000021F8"/>
    <w:rsid w:val="00002D94"/>
    <w:rsid w:val="00002DDC"/>
    <w:rsid w:val="000045A3"/>
    <w:rsid w:val="000053AD"/>
    <w:rsid w:val="0001042B"/>
    <w:rsid w:val="0001047F"/>
    <w:rsid w:val="0001258E"/>
    <w:rsid w:val="00012C54"/>
    <w:rsid w:val="00015213"/>
    <w:rsid w:val="00015AA7"/>
    <w:rsid w:val="00015F4C"/>
    <w:rsid w:val="00017819"/>
    <w:rsid w:val="00017D8F"/>
    <w:rsid w:val="0002000A"/>
    <w:rsid w:val="00023B3D"/>
    <w:rsid w:val="00023F20"/>
    <w:rsid w:val="0002432C"/>
    <w:rsid w:val="00024814"/>
    <w:rsid w:val="00024DF6"/>
    <w:rsid w:val="00025A07"/>
    <w:rsid w:val="0003301A"/>
    <w:rsid w:val="0003398C"/>
    <w:rsid w:val="00034DA2"/>
    <w:rsid w:val="00035F8D"/>
    <w:rsid w:val="000361BD"/>
    <w:rsid w:val="00040501"/>
    <w:rsid w:val="00041479"/>
    <w:rsid w:val="00041EA6"/>
    <w:rsid w:val="00043B2D"/>
    <w:rsid w:val="00044A16"/>
    <w:rsid w:val="00044B8C"/>
    <w:rsid w:val="00045275"/>
    <w:rsid w:val="00046E4C"/>
    <w:rsid w:val="0004752E"/>
    <w:rsid w:val="00047D74"/>
    <w:rsid w:val="00047E6A"/>
    <w:rsid w:val="0005349A"/>
    <w:rsid w:val="00053783"/>
    <w:rsid w:val="00054143"/>
    <w:rsid w:val="0005473E"/>
    <w:rsid w:val="00055A04"/>
    <w:rsid w:val="00055F54"/>
    <w:rsid w:val="000564FB"/>
    <w:rsid w:val="00060036"/>
    <w:rsid w:val="0006041F"/>
    <w:rsid w:val="00061316"/>
    <w:rsid w:val="000617DB"/>
    <w:rsid w:val="000667F8"/>
    <w:rsid w:val="0006751A"/>
    <w:rsid w:val="00067F9B"/>
    <w:rsid w:val="0007051C"/>
    <w:rsid w:val="00070550"/>
    <w:rsid w:val="00071AAE"/>
    <w:rsid w:val="00071E06"/>
    <w:rsid w:val="000722AC"/>
    <w:rsid w:val="00072615"/>
    <w:rsid w:val="000729E6"/>
    <w:rsid w:val="00073AF6"/>
    <w:rsid w:val="00074342"/>
    <w:rsid w:val="00076812"/>
    <w:rsid w:val="00077228"/>
    <w:rsid w:val="000805FE"/>
    <w:rsid w:val="000821E1"/>
    <w:rsid w:val="00082476"/>
    <w:rsid w:val="00082733"/>
    <w:rsid w:val="00083731"/>
    <w:rsid w:val="000842C8"/>
    <w:rsid w:val="000850E0"/>
    <w:rsid w:val="00087AA6"/>
    <w:rsid w:val="00090165"/>
    <w:rsid w:val="00091069"/>
    <w:rsid w:val="00091468"/>
    <w:rsid w:val="00091D6D"/>
    <w:rsid w:val="000921C6"/>
    <w:rsid w:val="00094796"/>
    <w:rsid w:val="000964D6"/>
    <w:rsid w:val="0009661F"/>
    <w:rsid w:val="0009666F"/>
    <w:rsid w:val="0009773E"/>
    <w:rsid w:val="000979BC"/>
    <w:rsid w:val="000A188C"/>
    <w:rsid w:val="000A2116"/>
    <w:rsid w:val="000A22C6"/>
    <w:rsid w:val="000A4199"/>
    <w:rsid w:val="000A4AE4"/>
    <w:rsid w:val="000A4D77"/>
    <w:rsid w:val="000A56CB"/>
    <w:rsid w:val="000A60B5"/>
    <w:rsid w:val="000A6188"/>
    <w:rsid w:val="000A6AC4"/>
    <w:rsid w:val="000B0657"/>
    <w:rsid w:val="000B1EE0"/>
    <w:rsid w:val="000B3EBF"/>
    <w:rsid w:val="000B5C24"/>
    <w:rsid w:val="000B6350"/>
    <w:rsid w:val="000B6378"/>
    <w:rsid w:val="000B6942"/>
    <w:rsid w:val="000B6DFC"/>
    <w:rsid w:val="000B6F17"/>
    <w:rsid w:val="000B73DB"/>
    <w:rsid w:val="000B76DC"/>
    <w:rsid w:val="000C16A9"/>
    <w:rsid w:val="000C31E1"/>
    <w:rsid w:val="000C4722"/>
    <w:rsid w:val="000C5708"/>
    <w:rsid w:val="000C5A6A"/>
    <w:rsid w:val="000C5A90"/>
    <w:rsid w:val="000C70CC"/>
    <w:rsid w:val="000D0A4A"/>
    <w:rsid w:val="000D1696"/>
    <w:rsid w:val="000D70B6"/>
    <w:rsid w:val="000E0D4C"/>
    <w:rsid w:val="000E140F"/>
    <w:rsid w:val="000E2E23"/>
    <w:rsid w:val="000E3070"/>
    <w:rsid w:val="000E4CBF"/>
    <w:rsid w:val="000E6175"/>
    <w:rsid w:val="000E7027"/>
    <w:rsid w:val="000F3B5B"/>
    <w:rsid w:val="000F62CE"/>
    <w:rsid w:val="000F63A9"/>
    <w:rsid w:val="00100B63"/>
    <w:rsid w:val="00100F11"/>
    <w:rsid w:val="001011EA"/>
    <w:rsid w:val="00101A08"/>
    <w:rsid w:val="00101E4E"/>
    <w:rsid w:val="001020B1"/>
    <w:rsid w:val="00102B7B"/>
    <w:rsid w:val="0010488B"/>
    <w:rsid w:val="00104E2A"/>
    <w:rsid w:val="00105B02"/>
    <w:rsid w:val="00107AE6"/>
    <w:rsid w:val="00107D28"/>
    <w:rsid w:val="0011374A"/>
    <w:rsid w:val="001160FA"/>
    <w:rsid w:val="00120557"/>
    <w:rsid w:val="001221AA"/>
    <w:rsid w:val="00122B9E"/>
    <w:rsid w:val="001230A6"/>
    <w:rsid w:val="001254AF"/>
    <w:rsid w:val="00126AD2"/>
    <w:rsid w:val="00126D47"/>
    <w:rsid w:val="00126F48"/>
    <w:rsid w:val="00126FAE"/>
    <w:rsid w:val="00130BA1"/>
    <w:rsid w:val="00131784"/>
    <w:rsid w:val="0013272A"/>
    <w:rsid w:val="00132D1D"/>
    <w:rsid w:val="00134AB1"/>
    <w:rsid w:val="00134BC0"/>
    <w:rsid w:val="00135106"/>
    <w:rsid w:val="00135CB0"/>
    <w:rsid w:val="0013648E"/>
    <w:rsid w:val="00137DD0"/>
    <w:rsid w:val="00140B8A"/>
    <w:rsid w:val="0014284D"/>
    <w:rsid w:val="00142A90"/>
    <w:rsid w:val="00142FBD"/>
    <w:rsid w:val="001435B2"/>
    <w:rsid w:val="00146382"/>
    <w:rsid w:val="00146B1E"/>
    <w:rsid w:val="0014704F"/>
    <w:rsid w:val="00150036"/>
    <w:rsid w:val="00150749"/>
    <w:rsid w:val="001510EF"/>
    <w:rsid w:val="00152446"/>
    <w:rsid w:val="0015326E"/>
    <w:rsid w:val="00153ED2"/>
    <w:rsid w:val="001551F9"/>
    <w:rsid w:val="0015723C"/>
    <w:rsid w:val="00157A4C"/>
    <w:rsid w:val="00160275"/>
    <w:rsid w:val="00160A77"/>
    <w:rsid w:val="0016233E"/>
    <w:rsid w:val="00162872"/>
    <w:rsid w:val="00162ABB"/>
    <w:rsid w:val="0016451F"/>
    <w:rsid w:val="00164781"/>
    <w:rsid w:val="00164F64"/>
    <w:rsid w:val="00165512"/>
    <w:rsid w:val="00165D34"/>
    <w:rsid w:val="00171DB8"/>
    <w:rsid w:val="00171E47"/>
    <w:rsid w:val="001737F8"/>
    <w:rsid w:val="00174A33"/>
    <w:rsid w:val="0018070D"/>
    <w:rsid w:val="00180E19"/>
    <w:rsid w:val="00180FF7"/>
    <w:rsid w:val="0018308E"/>
    <w:rsid w:val="00187F5E"/>
    <w:rsid w:val="001919D3"/>
    <w:rsid w:val="00192A23"/>
    <w:rsid w:val="00192BEC"/>
    <w:rsid w:val="00193739"/>
    <w:rsid w:val="001945FF"/>
    <w:rsid w:val="00196E7B"/>
    <w:rsid w:val="001A0DE9"/>
    <w:rsid w:val="001A1434"/>
    <w:rsid w:val="001A1926"/>
    <w:rsid w:val="001A2285"/>
    <w:rsid w:val="001A2F53"/>
    <w:rsid w:val="001A3E44"/>
    <w:rsid w:val="001A46BF"/>
    <w:rsid w:val="001A5ACE"/>
    <w:rsid w:val="001B057C"/>
    <w:rsid w:val="001B32D8"/>
    <w:rsid w:val="001B3B8E"/>
    <w:rsid w:val="001B44A3"/>
    <w:rsid w:val="001B5ACE"/>
    <w:rsid w:val="001B5AE9"/>
    <w:rsid w:val="001B5E56"/>
    <w:rsid w:val="001B730F"/>
    <w:rsid w:val="001C04CC"/>
    <w:rsid w:val="001C0EC2"/>
    <w:rsid w:val="001C213F"/>
    <w:rsid w:val="001C3E71"/>
    <w:rsid w:val="001C633F"/>
    <w:rsid w:val="001C67E0"/>
    <w:rsid w:val="001C73E6"/>
    <w:rsid w:val="001D02C3"/>
    <w:rsid w:val="001D12FB"/>
    <w:rsid w:val="001D1795"/>
    <w:rsid w:val="001D62F8"/>
    <w:rsid w:val="001D6A1C"/>
    <w:rsid w:val="001E0648"/>
    <w:rsid w:val="001E184B"/>
    <w:rsid w:val="001E1A50"/>
    <w:rsid w:val="001E2F5A"/>
    <w:rsid w:val="001E3F81"/>
    <w:rsid w:val="001E49BA"/>
    <w:rsid w:val="001E4B09"/>
    <w:rsid w:val="001E4CCA"/>
    <w:rsid w:val="001F0C51"/>
    <w:rsid w:val="001F166E"/>
    <w:rsid w:val="001F2826"/>
    <w:rsid w:val="001F38DB"/>
    <w:rsid w:val="001F3E4E"/>
    <w:rsid w:val="001F4572"/>
    <w:rsid w:val="001F4A23"/>
    <w:rsid w:val="001F6490"/>
    <w:rsid w:val="001F6DCF"/>
    <w:rsid w:val="001F6EB7"/>
    <w:rsid w:val="002011E6"/>
    <w:rsid w:val="00201E54"/>
    <w:rsid w:val="00202B0A"/>
    <w:rsid w:val="00202E4E"/>
    <w:rsid w:val="00203E07"/>
    <w:rsid w:val="00204139"/>
    <w:rsid w:val="002055D7"/>
    <w:rsid w:val="002056AD"/>
    <w:rsid w:val="0020754D"/>
    <w:rsid w:val="00207F2D"/>
    <w:rsid w:val="00210B63"/>
    <w:rsid w:val="002118ED"/>
    <w:rsid w:val="00211964"/>
    <w:rsid w:val="00212429"/>
    <w:rsid w:val="002127C9"/>
    <w:rsid w:val="00213362"/>
    <w:rsid w:val="002146D8"/>
    <w:rsid w:val="002151B9"/>
    <w:rsid w:val="00215D5C"/>
    <w:rsid w:val="00216BD4"/>
    <w:rsid w:val="00222931"/>
    <w:rsid w:val="00222DA9"/>
    <w:rsid w:val="002242FC"/>
    <w:rsid w:val="00226207"/>
    <w:rsid w:val="00226DCC"/>
    <w:rsid w:val="002271E4"/>
    <w:rsid w:val="0023056C"/>
    <w:rsid w:val="00230AD5"/>
    <w:rsid w:val="00232556"/>
    <w:rsid w:val="00233183"/>
    <w:rsid w:val="00233E61"/>
    <w:rsid w:val="00234891"/>
    <w:rsid w:val="00235B16"/>
    <w:rsid w:val="00235CAE"/>
    <w:rsid w:val="00235E26"/>
    <w:rsid w:val="00241EFB"/>
    <w:rsid w:val="0024213B"/>
    <w:rsid w:val="0024626A"/>
    <w:rsid w:val="002465B2"/>
    <w:rsid w:val="0025298B"/>
    <w:rsid w:val="00254066"/>
    <w:rsid w:val="00256030"/>
    <w:rsid w:val="002578F5"/>
    <w:rsid w:val="00262568"/>
    <w:rsid w:val="00262B54"/>
    <w:rsid w:val="00262D29"/>
    <w:rsid w:val="002634B5"/>
    <w:rsid w:val="002669BA"/>
    <w:rsid w:val="00274DA9"/>
    <w:rsid w:val="00274F94"/>
    <w:rsid w:val="00275514"/>
    <w:rsid w:val="002777BD"/>
    <w:rsid w:val="00277BF8"/>
    <w:rsid w:val="00277DB7"/>
    <w:rsid w:val="00282885"/>
    <w:rsid w:val="002834CA"/>
    <w:rsid w:val="002838FD"/>
    <w:rsid w:val="00283DFE"/>
    <w:rsid w:val="002848FD"/>
    <w:rsid w:val="0028507F"/>
    <w:rsid w:val="002853A9"/>
    <w:rsid w:val="002911AC"/>
    <w:rsid w:val="0029189E"/>
    <w:rsid w:val="0029220A"/>
    <w:rsid w:val="00292AE2"/>
    <w:rsid w:val="0029386F"/>
    <w:rsid w:val="00293FD6"/>
    <w:rsid w:val="00294DA6"/>
    <w:rsid w:val="00295BAF"/>
    <w:rsid w:val="00295C26"/>
    <w:rsid w:val="00296390"/>
    <w:rsid w:val="0029673C"/>
    <w:rsid w:val="00297244"/>
    <w:rsid w:val="002A3B11"/>
    <w:rsid w:val="002A54E3"/>
    <w:rsid w:val="002A597B"/>
    <w:rsid w:val="002A5A55"/>
    <w:rsid w:val="002A5DDA"/>
    <w:rsid w:val="002A6D61"/>
    <w:rsid w:val="002A6E85"/>
    <w:rsid w:val="002A763C"/>
    <w:rsid w:val="002B224F"/>
    <w:rsid w:val="002B5C7F"/>
    <w:rsid w:val="002B7B16"/>
    <w:rsid w:val="002C1997"/>
    <w:rsid w:val="002C21C3"/>
    <w:rsid w:val="002C290A"/>
    <w:rsid w:val="002C34FB"/>
    <w:rsid w:val="002C4A91"/>
    <w:rsid w:val="002C6589"/>
    <w:rsid w:val="002C67BA"/>
    <w:rsid w:val="002D0252"/>
    <w:rsid w:val="002D3E85"/>
    <w:rsid w:val="002D70F4"/>
    <w:rsid w:val="002E104D"/>
    <w:rsid w:val="002E515C"/>
    <w:rsid w:val="002E58C8"/>
    <w:rsid w:val="002E6497"/>
    <w:rsid w:val="002E66C7"/>
    <w:rsid w:val="002F1CAD"/>
    <w:rsid w:val="002F29A2"/>
    <w:rsid w:val="002F33FE"/>
    <w:rsid w:val="002F553C"/>
    <w:rsid w:val="002F5954"/>
    <w:rsid w:val="002F698B"/>
    <w:rsid w:val="002F7B36"/>
    <w:rsid w:val="002F7BCB"/>
    <w:rsid w:val="00300957"/>
    <w:rsid w:val="00303FB8"/>
    <w:rsid w:val="003042FD"/>
    <w:rsid w:val="00304C40"/>
    <w:rsid w:val="00304ED4"/>
    <w:rsid w:val="00304FB3"/>
    <w:rsid w:val="00305644"/>
    <w:rsid w:val="003061FB"/>
    <w:rsid w:val="003117CF"/>
    <w:rsid w:val="00313975"/>
    <w:rsid w:val="00313ED9"/>
    <w:rsid w:val="003175D0"/>
    <w:rsid w:val="0031783B"/>
    <w:rsid w:val="00321058"/>
    <w:rsid w:val="00330BA7"/>
    <w:rsid w:val="00331C7E"/>
    <w:rsid w:val="00333A4E"/>
    <w:rsid w:val="00334005"/>
    <w:rsid w:val="003341BC"/>
    <w:rsid w:val="00335AF4"/>
    <w:rsid w:val="00335EA1"/>
    <w:rsid w:val="003409DA"/>
    <w:rsid w:val="00340EF7"/>
    <w:rsid w:val="0034263A"/>
    <w:rsid w:val="00343AAC"/>
    <w:rsid w:val="00344BC9"/>
    <w:rsid w:val="00347420"/>
    <w:rsid w:val="00351A9F"/>
    <w:rsid w:val="003520FD"/>
    <w:rsid w:val="00353308"/>
    <w:rsid w:val="00353CDE"/>
    <w:rsid w:val="00360214"/>
    <w:rsid w:val="00360806"/>
    <w:rsid w:val="00361724"/>
    <w:rsid w:val="00362F1A"/>
    <w:rsid w:val="00363BA8"/>
    <w:rsid w:val="00365362"/>
    <w:rsid w:val="003721CC"/>
    <w:rsid w:val="0037220D"/>
    <w:rsid w:val="00372C6C"/>
    <w:rsid w:val="00372C97"/>
    <w:rsid w:val="00373075"/>
    <w:rsid w:val="00374E45"/>
    <w:rsid w:val="00376CEC"/>
    <w:rsid w:val="003775AB"/>
    <w:rsid w:val="003800A4"/>
    <w:rsid w:val="0038057A"/>
    <w:rsid w:val="003805EC"/>
    <w:rsid w:val="00380D27"/>
    <w:rsid w:val="00381255"/>
    <w:rsid w:val="00381284"/>
    <w:rsid w:val="003822EE"/>
    <w:rsid w:val="003848C9"/>
    <w:rsid w:val="003867BA"/>
    <w:rsid w:val="00390B74"/>
    <w:rsid w:val="00391A10"/>
    <w:rsid w:val="00391A90"/>
    <w:rsid w:val="00393B96"/>
    <w:rsid w:val="00394B61"/>
    <w:rsid w:val="00394B9F"/>
    <w:rsid w:val="00394FCD"/>
    <w:rsid w:val="00395B22"/>
    <w:rsid w:val="00396A01"/>
    <w:rsid w:val="00396D1C"/>
    <w:rsid w:val="00397538"/>
    <w:rsid w:val="003975B8"/>
    <w:rsid w:val="00397C9A"/>
    <w:rsid w:val="003A139D"/>
    <w:rsid w:val="003A252C"/>
    <w:rsid w:val="003A2A1E"/>
    <w:rsid w:val="003A488E"/>
    <w:rsid w:val="003B0CFD"/>
    <w:rsid w:val="003B170C"/>
    <w:rsid w:val="003B34F9"/>
    <w:rsid w:val="003B4587"/>
    <w:rsid w:val="003B4D6E"/>
    <w:rsid w:val="003B5B05"/>
    <w:rsid w:val="003B5B21"/>
    <w:rsid w:val="003B753F"/>
    <w:rsid w:val="003C0348"/>
    <w:rsid w:val="003C097D"/>
    <w:rsid w:val="003C1D3D"/>
    <w:rsid w:val="003C2C45"/>
    <w:rsid w:val="003C2F83"/>
    <w:rsid w:val="003C4400"/>
    <w:rsid w:val="003C573A"/>
    <w:rsid w:val="003C6E9F"/>
    <w:rsid w:val="003C7720"/>
    <w:rsid w:val="003D0E29"/>
    <w:rsid w:val="003D16FF"/>
    <w:rsid w:val="003D2152"/>
    <w:rsid w:val="003D2D22"/>
    <w:rsid w:val="003D36C9"/>
    <w:rsid w:val="003D3DFC"/>
    <w:rsid w:val="003D40DC"/>
    <w:rsid w:val="003D4D31"/>
    <w:rsid w:val="003E1C18"/>
    <w:rsid w:val="003E2969"/>
    <w:rsid w:val="003E2EAE"/>
    <w:rsid w:val="003E3280"/>
    <w:rsid w:val="003E58A3"/>
    <w:rsid w:val="003E5B5F"/>
    <w:rsid w:val="003E6746"/>
    <w:rsid w:val="003E6F22"/>
    <w:rsid w:val="003F06E2"/>
    <w:rsid w:val="003F0D52"/>
    <w:rsid w:val="003F4155"/>
    <w:rsid w:val="003F432C"/>
    <w:rsid w:val="003F436E"/>
    <w:rsid w:val="003F54F7"/>
    <w:rsid w:val="003F5D1B"/>
    <w:rsid w:val="0040161D"/>
    <w:rsid w:val="00401F9E"/>
    <w:rsid w:val="0040217F"/>
    <w:rsid w:val="00402285"/>
    <w:rsid w:val="0040258F"/>
    <w:rsid w:val="004027E0"/>
    <w:rsid w:val="00403413"/>
    <w:rsid w:val="00405189"/>
    <w:rsid w:val="0040682A"/>
    <w:rsid w:val="00410E31"/>
    <w:rsid w:val="004112A1"/>
    <w:rsid w:val="00412FB7"/>
    <w:rsid w:val="00413C89"/>
    <w:rsid w:val="00413C9E"/>
    <w:rsid w:val="00414CAC"/>
    <w:rsid w:val="00414D02"/>
    <w:rsid w:val="00414F05"/>
    <w:rsid w:val="004151E0"/>
    <w:rsid w:val="00416663"/>
    <w:rsid w:val="00417481"/>
    <w:rsid w:val="004174E3"/>
    <w:rsid w:val="00417AB0"/>
    <w:rsid w:val="004209FA"/>
    <w:rsid w:val="00421801"/>
    <w:rsid w:val="00421A9B"/>
    <w:rsid w:val="00422113"/>
    <w:rsid w:val="004222CB"/>
    <w:rsid w:val="00424E33"/>
    <w:rsid w:val="00424F22"/>
    <w:rsid w:val="00425391"/>
    <w:rsid w:val="00426E6C"/>
    <w:rsid w:val="004272C7"/>
    <w:rsid w:val="0043268D"/>
    <w:rsid w:val="004326A8"/>
    <w:rsid w:val="0043298B"/>
    <w:rsid w:val="00433364"/>
    <w:rsid w:val="004335FF"/>
    <w:rsid w:val="004337E9"/>
    <w:rsid w:val="00433D17"/>
    <w:rsid w:val="004345F5"/>
    <w:rsid w:val="00436236"/>
    <w:rsid w:val="00437CB2"/>
    <w:rsid w:val="00437F96"/>
    <w:rsid w:val="00442569"/>
    <w:rsid w:val="00442A15"/>
    <w:rsid w:val="00446236"/>
    <w:rsid w:val="004462E5"/>
    <w:rsid w:val="0044741E"/>
    <w:rsid w:val="00450AE3"/>
    <w:rsid w:val="00451AE2"/>
    <w:rsid w:val="00451B8B"/>
    <w:rsid w:val="00452CA7"/>
    <w:rsid w:val="00453AB8"/>
    <w:rsid w:val="00453BDA"/>
    <w:rsid w:val="004545E4"/>
    <w:rsid w:val="00456428"/>
    <w:rsid w:val="004613DF"/>
    <w:rsid w:val="00464154"/>
    <w:rsid w:val="0046420C"/>
    <w:rsid w:val="004647F1"/>
    <w:rsid w:val="00465E40"/>
    <w:rsid w:val="00471265"/>
    <w:rsid w:val="00471DBC"/>
    <w:rsid w:val="0047241B"/>
    <w:rsid w:val="0047560C"/>
    <w:rsid w:val="00480E10"/>
    <w:rsid w:val="0048385B"/>
    <w:rsid w:val="00483899"/>
    <w:rsid w:val="00484177"/>
    <w:rsid w:val="00484297"/>
    <w:rsid w:val="0048455F"/>
    <w:rsid w:val="004848A4"/>
    <w:rsid w:val="004859EC"/>
    <w:rsid w:val="004871D5"/>
    <w:rsid w:val="004900FC"/>
    <w:rsid w:val="004903E5"/>
    <w:rsid w:val="00491750"/>
    <w:rsid w:val="004924D8"/>
    <w:rsid w:val="00492E01"/>
    <w:rsid w:val="00496BBA"/>
    <w:rsid w:val="004974A4"/>
    <w:rsid w:val="004A0891"/>
    <w:rsid w:val="004A16C9"/>
    <w:rsid w:val="004A1882"/>
    <w:rsid w:val="004A2261"/>
    <w:rsid w:val="004A7362"/>
    <w:rsid w:val="004B2299"/>
    <w:rsid w:val="004B2767"/>
    <w:rsid w:val="004B34EA"/>
    <w:rsid w:val="004B5CE7"/>
    <w:rsid w:val="004C1F6C"/>
    <w:rsid w:val="004C2A7A"/>
    <w:rsid w:val="004C2C19"/>
    <w:rsid w:val="004C2CF9"/>
    <w:rsid w:val="004C3040"/>
    <w:rsid w:val="004C30BE"/>
    <w:rsid w:val="004C3EFC"/>
    <w:rsid w:val="004C54DE"/>
    <w:rsid w:val="004C6037"/>
    <w:rsid w:val="004C667D"/>
    <w:rsid w:val="004C7168"/>
    <w:rsid w:val="004D134A"/>
    <w:rsid w:val="004D1FFE"/>
    <w:rsid w:val="004D2757"/>
    <w:rsid w:val="004D3BC9"/>
    <w:rsid w:val="004D504A"/>
    <w:rsid w:val="004D59A9"/>
    <w:rsid w:val="004D68AB"/>
    <w:rsid w:val="004D759C"/>
    <w:rsid w:val="004D7F79"/>
    <w:rsid w:val="004E1980"/>
    <w:rsid w:val="004E316D"/>
    <w:rsid w:val="004E3427"/>
    <w:rsid w:val="004E6872"/>
    <w:rsid w:val="004F20C9"/>
    <w:rsid w:val="004F317A"/>
    <w:rsid w:val="004F489C"/>
    <w:rsid w:val="004F4ECD"/>
    <w:rsid w:val="004F7BD9"/>
    <w:rsid w:val="00500EAF"/>
    <w:rsid w:val="00503E98"/>
    <w:rsid w:val="005054D8"/>
    <w:rsid w:val="00506FD6"/>
    <w:rsid w:val="005072F6"/>
    <w:rsid w:val="005110CC"/>
    <w:rsid w:val="005157C4"/>
    <w:rsid w:val="00516E8D"/>
    <w:rsid w:val="00517E35"/>
    <w:rsid w:val="00520109"/>
    <w:rsid w:val="00520A14"/>
    <w:rsid w:val="00527B60"/>
    <w:rsid w:val="00531195"/>
    <w:rsid w:val="0053198B"/>
    <w:rsid w:val="005349E4"/>
    <w:rsid w:val="005360AA"/>
    <w:rsid w:val="005361EF"/>
    <w:rsid w:val="0053672E"/>
    <w:rsid w:val="005372E8"/>
    <w:rsid w:val="00537A8C"/>
    <w:rsid w:val="00540DD2"/>
    <w:rsid w:val="0054139D"/>
    <w:rsid w:val="00541A6A"/>
    <w:rsid w:val="00541B51"/>
    <w:rsid w:val="00541EE4"/>
    <w:rsid w:val="00543B1E"/>
    <w:rsid w:val="005459D9"/>
    <w:rsid w:val="005460AC"/>
    <w:rsid w:val="00546D39"/>
    <w:rsid w:val="005475E5"/>
    <w:rsid w:val="0054786A"/>
    <w:rsid w:val="00550781"/>
    <w:rsid w:val="005512DD"/>
    <w:rsid w:val="005518A3"/>
    <w:rsid w:val="00551C8F"/>
    <w:rsid w:val="005532F3"/>
    <w:rsid w:val="005534FF"/>
    <w:rsid w:val="005535E3"/>
    <w:rsid w:val="0055381D"/>
    <w:rsid w:val="005542E0"/>
    <w:rsid w:val="005560F0"/>
    <w:rsid w:val="00556FBD"/>
    <w:rsid w:val="0055789B"/>
    <w:rsid w:val="00557D6C"/>
    <w:rsid w:val="005603BC"/>
    <w:rsid w:val="00560C4B"/>
    <w:rsid w:val="005617BE"/>
    <w:rsid w:val="00561AE1"/>
    <w:rsid w:val="00562404"/>
    <w:rsid w:val="00562481"/>
    <w:rsid w:val="00563F22"/>
    <w:rsid w:val="00565BB2"/>
    <w:rsid w:val="005664A4"/>
    <w:rsid w:val="005669AF"/>
    <w:rsid w:val="005717F4"/>
    <w:rsid w:val="005724B4"/>
    <w:rsid w:val="0057258B"/>
    <w:rsid w:val="005753BA"/>
    <w:rsid w:val="00580606"/>
    <w:rsid w:val="00580767"/>
    <w:rsid w:val="00581A6A"/>
    <w:rsid w:val="00582594"/>
    <w:rsid w:val="00582C35"/>
    <w:rsid w:val="00582FEB"/>
    <w:rsid w:val="00584AF1"/>
    <w:rsid w:val="005871CB"/>
    <w:rsid w:val="005878E0"/>
    <w:rsid w:val="00590E08"/>
    <w:rsid w:val="0059259D"/>
    <w:rsid w:val="00593708"/>
    <w:rsid w:val="00594950"/>
    <w:rsid w:val="00595268"/>
    <w:rsid w:val="00595318"/>
    <w:rsid w:val="00597230"/>
    <w:rsid w:val="005A0C4F"/>
    <w:rsid w:val="005A133C"/>
    <w:rsid w:val="005A1824"/>
    <w:rsid w:val="005A4F0E"/>
    <w:rsid w:val="005A5706"/>
    <w:rsid w:val="005B1672"/>
    <w:rsid w:val="005B3216"/>
    <w:rsid w:val="005B4E08"/>
    <w:rsid w:val="005B56FA"/>
    <w:rsid w:val="005B67BD"/>
    <w:rsid w:val="005B7487"/>
    <w:rsid w:val="005B7AE2"/>
    <w:rsid w:val="005C01D5"/>
    <w:rsid w:val="005C6C01"/>
    <w:rsid w:val="005D0785"/>
    <w:rsid w:val="005D12E7"/>
    <w:rsid w:val="005D18CF"/>
    <w:rsid w:val="005D316F"/>
    <w:rsid w:val="005D44AD"/>
    <w:rsid w:val="005D786A"/>
    <w:rsid w:val="005E0A89"/>
    <w:rsid w:val="005E0B7B"/>
    <w:rsid w:val="005E154B"/>
    <w:rsid w:val="005E2363"/>
    <w:rsid w:val="005E4931"/>
    <w:rsid w:val="005E57AA"/>
    <w:rsid w:val="005E626A"/>
    <w:rsid w:val="005E7641"/>
    <w:rsid w:val="005E7797"/>
    <w:rsid w:val="005E7C00"/>
    <w:rsid w:val="005F1444"/>
    <w:rsid w:val="005F1734"/>
    <w:rsid w:val="005F3C65"/>
    <w:rsid w:val="005F4D16"/>
    <w:rsid w:val="005F6E0E"/>
    <w:rsid w:val="005F7383"/>
    <w:rsid w:val="00601853"/>
    <w:rsid w:val="00602C25"/>
    <w:rsid w:val="00603A0F"/>
    <w:rsid w:val="0060453D"/>
    <w:rsid w:val="00605C62"/>
    <w:rsid w:val="00607092"/>
    <w:rsid w:val="00607A53"/>
    <w:rsid w:val="006100FB"/>
    <w:rsid w:val="00610127"/>
    <w:rsid w:val="00610543"/>
    <w:rsid w:val="006116D9"/>
    <w:rsid w:val="00611D91"/>
    <w:rsid w:val="00611E82"/>
    <w:rsid w:val="0061247D"/>
    <w:rsid w:val="00613223"/>
    <w:rsid w:val="006133A3"/>
    <w:rsid w:val="006134B0"/>
    <w:rsid w:val="00613DEB"/>
    <w:rsid w:val="00614134"/>
    <w:rsid w:val="00616E55"/>
    <w:rsid w:val="00621F62"/>
    <w:rsid w:val="00622F2D"/>
    <w:rsid w:val="00623542"/>
    <w:rsid w:val="006250C4"/>
    <w:rsid w:val="00625BCC"/>
    <w:rsid w:val="00626E03"/>
    <w:rsid w:val="006278AC"/>
    <w:rsid w:val="00631749"/>
    <w:rsid w:val="00631BA2"/>
    <w:rsid w:val="00631C8E"/>
    <w:rsid w:val="00632062"/>
    <w:rsid w:val="00633E9C"/>
    <w:rsid w:val="00633ECD"/>
    <w:rsid w:val="00637259"/>
    <w:rsid w:val="0063734B"/>
    <w:rsid w:val="006377B1"/>
    <w:rsid w:val="006432FD"/>
    <w:rsid w:val="00644063"/>
    <w:rsid w:val="00644CD7"/>
    <w:rsid w:val="00644D64"/>
    <w:rsid w:val="00646386"/>
    <w:rsid w:val="00646CD4"/>
    <w:rsid w:val="00650032"/>
    <w:rsid w:val="0065042B"/>
    <w:rsid w:val="00651590"/>
    <w:rsid w:val="00652461"/>
    <w:rsid w:val="00652A13"/>
    <w:rsid w:val="0065466E"/>
    <w:rsid w:val="00656CF9"/>
    <w:rsid w:val="00662311"/>
    <w:rsid w:val="006624D3"/>
    <w:rsid w:val="00662F35"/>
    <w:rsid w:val="0066309D"/>
    <w:rsid w:val="006633FD"/>
    <w:rsid w:val="00667295"/>
    <w:rsid w:val="00667467"/>
    <w:rsid w:val="006674A1"/>
    <w:rsid w:val="0067125E"/>
    <w:rsid w:val="006721CE"/>
    <w:rsid w:val="00673374"/>
    <w:rsid w:val="00673885"/>
    <w:rsid w:val="00677D7A"/>
    <w:rsid w:val="006821A8"/>
    <w:rsid w:val="00682570"/>
    <w:rsid w:val="00683788"/>
    <w:rsid w:val="00683CD4"/>
    <w:rsid w:val="00683D88"/>
    <w:rsid w:val="00684E83"/>
    <w:rsid w:val="00685938"/>
    <w:rsid w:val="00687ED3"/>
    <w:rsid w:val="00687FEF"/>
    <w:rsid w:val="006916AC"/>
    <w:rsid w:val="00693C73"/>
    <w:rsid w:val="0069413C"/>
    <w:rsid w:val="00694D63"/>
    <w:rsid w:val="00695F55"/>
    <w:rsid w:val="006970BA"/>
    <w:rsid w:val="00697130"/>
    <w:rsid w:val="0069778B"/>
    <w:rsid w:val="00697E9E"/>
    <w:rsid w:val="00697EB0"/>
    <w:rsid w:val="006A0059"/>
    <w:rsid w:val="006A026F"/>
    <w:rsid w:val="006A1BD6"/>
    <w:rsid w:val="006A206C"/>
    <w:rsid w:val="006A241C"/>
    <w:rsid w:val="006A2EDE"/>
    <w:rsid w:val="006A3FBE"/>
    <w:rsid w:val="006A54B4"/>
    <w:rsid w:val="006B0D07"/>
    <w:rsid w:val="006B1AF3"/>
    <w:rsid w:val="006B1D3E"/>
    <w:rsid w:val="006B34C7"/>
    <w:rsid w:val="006B354A"/>
    <w:rsid w:val="006B6C54"/>
    <w:rsid w:val="006B6FF7"/>
    <w:rsid w:val="006B74E8"/>
    <w:rsid w:val="006B7886"/>
    <w:rsid w:val="006C0D6C"/>
    <w:rsid w:val="006C1383"/>
    <w:rsid w:val="006C387D"/>
    <w:rsid w:val="006C4595"/>
    <w:rsid w:val="006C7F56"/>
    <w:rsid w:val="006D051A"/>
    <w:rsid w:val="006D3495"/>
    <w:rsid w:val="006D3BCE"/>
    <w:rsid w:val="006D52EF"/>
    <w:rsid w:val="006D73D6"/>
    <w:rsid w:val="006E19F5"/>
    <w:rsid w:val="006E1F1F"/>
    <w:rsid w:val="006E3270"/>
    <w:rsid w:val="006E3F23"/>
    <w:rsid w:val="006E4365"/>
    <w:rsid w:val="006E5C46"/>
    <w:rsid w:val="006E6E9C"/>
    <w:rsid w:val="006F0E55"/>
    <w:rsid w:val="006F2409"/>
    <w:rsid w:val="006F2950"/>
    <w:rsid w:val="006F3E7E"/>
    <w:rsid w:val="006F6043"/>
    <w:rsid w:val="006F75B9"/>
    <w:rsid w:val="00700A3B"/>
    <w:rsid w:val="00702047"/>
    <w:rsid w:val="00702EB8"/>
    <w:rsid w:val="00703021"/>
    <w:rsid w:val="007045E0"/>
    <w:rsid w:val="00704923"/>
    <w:rsid w:val="00704CA2"/>
    <w:rsid w:val="00706301"/>
    <w:rsid w:val="00707262"/>
    <w:rsid w:val="00710EAF"/>
    <w:rsid w:val="00711322"/>
    <w:rsid w:val="007131FB"/>
    <w:rsid w:val="00713499"/>
    <w:rsid w:val="00713850"/>
    <w:rsid w:val="00713911"/>
    <w:rsid w:val="00713EB1"/>
    <w:rsid w:val="007141C9"/>
    <w:rsid w:val="00714808"/>
    <w:rsid w:val="00714B35"/>
    <w:rsid w:val="00715412"/>
    <w:rsid w:val="00715961"/>
    <w:rsid w:val="0071756C"/>
    <w:rsid w:val="007178CD"/>
    <w:rsid w:val="00717917"/>
    <w:rsid w:val="00720097"/>
    <w:rsid w:val="00720253"/>
    <w:rsid w:val="00722CA0"/>
    <w:rsid w:val="00723341"/>
    <w:rsid w:val="007238C1"/>
    <w:rsid w:val="00724602"/>
    <w:rsid w:val="00726980"/>
    <w:rsid w:val="00731422"/>
    <w:rsid w:val="00732DBC"/>
    <w:rsid w:val="00735379"/>
    <w:rsid w:val="007359E7"/>
    <w:rsid w:val="00741169"/>
    <w:rsid w:val="00741C3A"/>
    <w:rsid w:val="007420DF"/>
    <w:rsid w:val="00743CC4"/>
    <w:rsid w:val="00744404"/>
    <w:rsid w:val="007517B9"/>
    <w:rsid w:val="00757C61"/>
    <w:rsid w:val="00760411"/>
    <w:rsid w:val="00760F2B"/>
    <w:rsid w:val="00760F48"/>
    <w:rsid w:val="007626BD"/>
    <w:rsid w:val="0076295D"/>
    <w:rsid w:val="007652E6"/>
    <w:rsid w:val="007657B2"/>
    <w:rsid w:val="0076708C"/>
    <w:rsid w:val="0076764E"/>
    <w:rsid w:val="0077040C"/>
    <w:rsid w:val="00774D36"/>
    <w:rsid w:val="00776310"/>
    <w:rsid w:val="00776673"/>
    <w:rsid w:val="007779E9"/>
    <w:rsid w:val="00777AD1"/>
    <w:rsid w:val="00777B6B"/>
    <w:rsid w:val="00777D08"/>
    <w:rsid w:val="007808B7"/>
    <w:rsid w:val="0078206B"/>
    <w:rsid w:val="0078252B"/>
    <w:rsid w:val="00782D05"/>
    <w:rsid w:val="007832AA"/>
    <w:rsid w:val="00783BE9"/>
    <w:rsid w:val="00783DFA"/>
    <w:rsid w:val="00786E26"/>
    <w:rsid w:val="007910BA"/>
    <w:rsid w:val="0079158B"/>
    <w:rsid w:val="00791D50"/>
    <w:rsid w:val="00792601"/>
    <w:rsid w:val="00793456"/>
    <w:rsid w:val="007948CB"/>
    <w:rsid w:val="00795008"/>
    <w:rsid w:val="00795F4D"/>
    <w:rsid w:val="007A023B"/>
    <w:rsid w:val="007A0606"/>
    <w:rsid w:val="007A1CA0"/>
    <w:rsid w:val="007A1CF7"/>
    <w:rsid w:val="007A2916"/>
    <w:rsid w:val="007A4F81"/>
    <w:rsid w:val="007A5A88"/>
    <w:rsid w:val="007A7010"/>
    <w:rsid w:val="007B0519"/>
    <w:rsid w:val="007B1318"/>
    <w:rsid w:val="007B1A12"/>
    <w:rsid w:val="007B256A"/>
    <w:rsid w:val="007B3788"/>
    <w:rsid w:val="007B4FB6"/>
    <w:rsid w:val="007B5E03"/>
    <w:rsid w:val="007B6E63"/>
    <w:rsid w:val="007C11BC"/>
    <w:rsid w:val="007C2E28"/>
    <w:rsid w:val="007C398B"/>
    <w:rsid w:val="007C4436"/>
    <w:rsid w:val="007C453C"/>
    <w:rsid w:val="007C4842"/>
    <w:rsid w:val="007C5BDE"/>
    <w:rsid w:val="007C6B8F"/>
    <w:rsid w:val="007D08B8"/>
    <w:rsid w:val="007D09FA"/>
    <w:rsid w:val="007D1465"/>
    <w:rsid w:val="007D2B2A"/>
    <w:rsid w:val="007D556F"/>
    <w:rsid w:val="007D560E"/>
    <w:rsid w:val="007D576B"/>
    <w:rsid w:val="007D59FE"/>
    <w:rsid w:val="007D7972"/>
    <w:rsid w:val="007E0B20"/>
    <w:rsid w:val="007E14E3"/>
    <w:rsid w:val="007E52F7"/>
    <w:rsid w:val="007F18E7"/>
    <w:rsid w:val="007F1B6F"/>
    <w:rsid w:val="007F286E"/>
    <w:rsid w:val="007F4800"/>
    <w:rsid w:val="007F4D2B"/>
    <w:rsid w:val="007F59F5"/>
    <w:rsid w:val="00800EE8"/>
    <w:rsid w:val="00802912"/>
    <w:rsid w:val="0080371D"/>
    <w:rsid w:val="00803D32"/>
    <w:rsid w:val="00805284"/>
    <w:rsid w:val="00805CCB"/>
    <w:rsid w:val="008065C6"/>
    <w:rsid w:val="00807758"/>
    <w:rsid w:val="00811CC0"/>
    <w:rsid w:val="00811E0B"/>
    <w:rsid w:val="00813883"/>
    <w:rsid w:val="00813E9F"/>
    <w:rsid w:val="00814CFB"/>
    <w:rsid w:val="008166DA"/>
    <w:rsid w:val="00816CAB"/>
    <w:rsid w:val="00817412"/>
    <w:rsid w:val="00817A9B"/>
    <w:rsid w:val="00817AC3"/>
    <w:rsid w:val="00817FA5"/>
    <w:rsid w:val="00823219"/>
    <w:rsid w:val="008249AD"/>
    <w:rsid w:val="0082596C"/>
    <w:rsid w:val="00826E5E"/>
    <w:rsid w:val="00827780"/>
    <w:rsid w:val="00830749"/>
    <w:rsid w:val="00834069"/>
    <w:rsid w:val="0083461F"/>
    <w:rsid w:val="00835CAA"/>
    <w:rsid w:val="00842935"/>
    <w:rsid w:val="0084353F"/>
    <w:rsid w:val="00843C09"/>
    <w:rsid w:val="0084436B"/>
    <w:rsid w:val="00844691"/>
    <w:rsid w:val="008455C8"/>
    <w:rsid w:val="00846142"/>
    <w:rsid w:val="00846AD4"/>
    <w:rsid w:val="00851782"/>
    <w:rsid w:val="00852366"/>
    <w:rsid w:val="00852539"/>
    <w:rsid w:val="00853415"/>
    <w:rsid w:val="0085497C"/>
    <w:rsid w:val="00857A58"/>
    <w:rsid w:val="00861A73"/>
    <w:rsid w:val="00861C68"/>
    <w:rsid w:val="00862A11"/>
    <w:rsid w:val="0086414F"/>
    <w:rsid w:val="00866830"/>
    <w:rsid w:val="00867010"/>
    <w:rsid w:val="0086764C"/>
    <w:rsid w:val="00872C19"/>
    <w:rsid w:val="008738D7"/>
    <w:rsid w:val="008755B2"/>
    <w:rsid w:val="00875BF6"/>
    <w:rsid w:val="0087623A"/>
    <w:rsid w:val="0087685C"/>
    <w:rsid w:val="00880866"/>
    <w:rsid w:val="00880F59"/>
    <w:rsid w:val="0088269E"/>
    <w:rsid w:val="00882F16"/>
    <w:rsid w:val="008840AD"/>
    <w:rsid w:val="00884814"/>
    <w:rsid w:val="008848F0"/>
    <w:rsid w:val="00884A01"/>
    <w:rsid w:val="00885968"/>
    <w:rsid w:val="00886F1B"/>
    <w:rsid w:val="00892E8F"/>
    <w:rsid w:val="00893104"/>
    <w:rsid w:val="00893281"/>
    <w:rsid w:val="008959E2"/>
    <w:rsid w:val="00897CCF"/>
    <w:rsid w:val="008A02BD"/>
    <w:rsid w:val="008A0939"/>
    <w:rsid w:val="008A12A4"/>
    <w:rsid w:val="008A2142"/>
    <w:rsid w:val="008A3DD7"/>
    <w:rsid w:val="008A672B"/>
    <w:rsid w:val="008A6FAE"/>
    <w:rsid w:val="008B0950"/>
    <w:rsid w:val="008B4008"/>
    <w:rsid w:val="008B429A"/>
    <w:rsid w:val="008B463B"/>
    <w:rsid w:val="008B47A0"/>
    <w:rsid w:val="008B542F"/>
    <w:rsid w:val="008B67CF"/>
    <w:rsid w:val="008C1C61"/>
    <w:rsid w:val="008C1DBF"/>
    <w:rsid w:val="008C5C60"/>
    <w:rsid w:val="008C6A60"/>
    <w:rsid w:val="008C7720"/>
    <w:rsid w:val="008D0353"/>
    <w:rsid w:val="008D063F"/>
    <w:rsid w:val="008D0995"/>
    <w:rsid w:val="008D2BFC"/>
    <w:rsid w:val="008D3A96"/>
    <w:rsid w:val="008D5627"/>
    <w:rsid w:val="008D56F5"/>
    <w:rsid w:val="008D6322"/>
    <w:rsid w:val="008D6C84"/>
    <w:rsid w:val="008E02E0"/>
    <w:rsid w:val="008E09FD"/>
    <w:rsid w:val="008E1C54"/>
    <w:rsid w:val="008E2DA1"/>
    <w:rsid w:val="008E2F12"/>
    <w:rsid w:val="008E3D28"/>
    <w:rsid w:val="008E3E15"/>
    <w:rsid w:val="008E5478"/>
    <w:rsid w:val="008F192E"/>
    <w:rsid w:val="008F1F53"/>
    <w:rsid w:val="008F379C"/>
    <w:rsid w:val="008F4849"/>
    <w:rsid w:val="008F5105"/>
    <w:rsid w:val="008F5924"/>
    <w:rsid w:val="0090007C"/>
    <w:rsid w:val="00900D1D"/>
    <w:rsid w:val="00900F18"/>
    <w:rsid w:val="00901E97"/>
    <w:rsid w:val="00902429"/>
    <w:rsid w:val="009025E2"/>
    <w:rsid w:val="00902715"/>
    <w:rsid w:val="00902B0D"/>
    <w:rsid w:val="009033C0"/>
    <w:rsid w:val="009034B2"/>
    <w:rsid w:val="00903532"/>
    <w:rsid w:val="009046EA"/>
    <w:rsid w:val="009066B1"/>
    <w:rsid w:val="00906A7C"/>
    <w:rsid w:val="009077AF"/>
    <w:rsid w:val="009102E4"/>
    <w:rsid w:val="00910B3B"/>
    <w:rsid w:val="00910EB4"/>
    <w:rsid w:val="00911CC4"/>
    <w:rsid w:val="009120F0"/>
    <w:rsid w:val="00913863"/>
    <w:rsid w:val="009222EA"/>
    <w:rsid w:val="00923D8A"/>
    <w:rsid w:val="00923EFF"/>
    <w:rsid w:val="00923F12"/>
    <w:rsid w:val="00924083"/>
    <w:rsid w:val="00924B28"/>
    <w:rsid w:val="00925BE4"/>
    <w:rsid w:val="00927FE5"/>
    <w:rsid w:val="00930476"/>
    <w:rsid w:val="00930507"/>
    <w:rsid w:val="00934D8F"/>
    <w:rsid w:val="00936327"/>
    <w:rsid w:val="00936725"/>
    <w:rsid w:val="00936C6D"/>
    <w:rsid w:val="0094178D"/>
    <w:rsid w:val="009429DF"/>
    <w:rsid w:val="0094354B"/>
    <w:rsid w:val="009468B6"/>
    <w:rsid w:val="00947145"/>
    <w:rsid w:val="00947CB2"/>
    <w:rsid w:val="00951DA2"/>
    <w:rsid w:val="009543F2"/>
    <w:rsid w:val="0095516F"/>
    <w:rsid w:val="0095529A"/>
    <w:rsid w:val="00956594"/>
    <w:rsid w:val="00957152"/>
    <w:rsid w:val="00963697"/>
    <w:rsid w:val="00963E7B"/>
    <w:rsid w:val="00967BCB"/>
    <w:rsid w:val="00967C83"/>
    <w:rsid w:val="00967D6C"/>
    <w:rsid w:val="0097206E"/>
    <w:rsid w:val="0098016B"/>
    <w:rsid w:val="009804DF"/>
    <w:rsid w:val="00980D46"/>
    <w:rsid w:val="00981566"/>
    <w:rsid w:val="00982549"/>
    <w:rsid w:val="0098335C"/>
    <w:rsid w:val="00983831"/>
    <w:rsid w:val="0098458E"/>
    <w:rsid w:val="009857DD"/>
    <w:rsid w:val="00986271"/>
    <w:rsid w:val="00986FBC"/>
    <w:rsid w:val="00987EC7"/>
    <w:rsid w:val="00990B5A"/>
    <w:rsid w:val="00994450"/>
    <w:rsid w:val="0099457B"/>
    <w:rsid w:val="00994BE0"/>
    <w:rsid w:val="009A0A00"/>
    <w:rsid w:val="009A1B51"/>
    <w:rsid w:val="009A1ECB"/>
    <w:rsid w:val="009A218D"/>
    <w:rsid w:val="009A2D60"/>
    <w:rsid w:val="009A328A"/>
    <w:rsid w:val="009A37B8"/>
    <w:rsid w:val="009A3C8F"/>
    <w:rsid w:val="009A4316"/>
    <w:rsid w:val="009A489D"/>
    <w:rsid w:val="009A4F60"/>
    <w:rsid w:val="009A5729"/>
    <w:rsid w:val="009A6D6D"/>
    <w:rsid w:val="009A6E30"/>
    <w:rsid w:val="009B11A1"/>
    <w:rsid w:val="009B1367"/>
    <w:rsid w:val="009B2927"/>
    <w:rsid w:val="009B3AA7"/>
    <w:rsid w:val="009B3BE5"/>
    <w:rsid w:val="009B42D3"/>
    <w:rsid w:val="009B68CF"/>
    <w:rsid w:val="009B70D9"/>
    <w:rsid w:val="009B7CF9"/>
    <w:rsid w:val="009C0B82"/>
    <w:rsid w:val="009C603A"/>
    <w:rsid w:val="009D0AD9"/>
    <w:rsid w:val="009D3216"/>
    <w:rsid w:val="009D512B"/>
    <w:rsid w:val="009D5EC2"/>
    <w:rsid w:val="009D64B7"/>
    <w:rsid w:val="009E58A8"/>
    <w:rsid w:val="009E5D22"/>
    <w:rsid w:val="009E61BF"/>
    <w:rsid w:val="009E6EEE"/>
    <w:rsid w:val="009E7514"/>
    <w:rsid w:val="009F0A1A"/>
    <w:rsid w:val="009F2539"/>
    <w:rsid w:val="009F285A"/>
    <w:rsid w:val="009F4FBF"/>
    <w:rsid w:val="009F75AC"/>
    <w:rsid w:val="00A00E7C"/>
    <w:rsid w:val="00A01E93"/>
    <w:rsid w:val="00A02A32"/>
    <w:rsid w:val="00A02C58"/>
    <w:rsid w:val="00A03330"/>
    <w:rsid w:val="00A03D52"/>
    <w:rsid w:val="00A05633"/>
    <w:rsid w:val="00A063D1"/>
    <w:rsid w:val="00A067E8"/>
    <w:rsid w:val="00A115AD"/>
    <w:rsid w:val="00A11700"/>
    <w:rsid w:val="00A1179E"/>
    <w:rsid w:val="00A12884"/>
    <w:rsid w:val="00A138A8"/>
    <w:rsid w:val="00A13D7D"/>
    <w:rsid w:val="00A14334"/>
    <w:rsid w:val="00A15101"/>
    <w:rsid w:val="00A16AD3"/>
    <w:rsid w:val="00A21AFD"/>
    <w:rsid w:val="00A24252"/>
    <w:rsid w:val="00A24843"/>
    <w:rsid w:val="00A2725B"/>
    <w:rsid w:val="00A2764B"/>
    <w:rsid w:val="00A33C3D"/>
    <w:rsid w:val="00A344A9"/>
    <w:rsid w:val="00A34EC5"/>
    <w:rsid w:val="00A368FC"/>
    <w:rsid w:val="00A377F1"/>
    <w:rsid w:val="00A403A6"/>
    <w:rsid w:val="00A41422"/>
    <w:rsid w:val="00A421EF"/>
    <w:rsid w:val="00A422CE"/>
    <w:rsid w:val="00A44BA9"/>
    <w:rsid w:val="00A45947"/>
    <w:rsid w:val="00A45F49"/>
    <w:rsid w:val="00A473CE"/>
    <w:rsid w:val="00A47D86"/>
    <w:rsid w:val="00A50634"/>
    <w:rsid w:val="00A52750"/>
    <w:rsid w:val="00A5326E"/>
    <w:rsid w:val="00A54815"/>
    <w:rsid w:val="00A54FC8"/>
    <w:rsid w:val="00A551CA"/>
    <w:rsid w:val="00A571D3"/>
    <w:rsid w:val="00A636C3"/>
    <w:rsid w:val="00A63980"/>
    <w:rsid w:val="00A671C2"/>
    <w:rsid w:val="00A724B3"/>
    <w:rsid w:val="00A7429A"/>
    <w:rsid w:val="00A750E9"/>
    <w:rsid w:val="00A7594C"/>
    <w:rsid w:val="00A75DC0"/>
    <w:rsid w:val="00A75EFD"/>
    <w:rsid w:val="00A772E5"/>
    <w:rsid w:val="00A80D71"/>
    <w:rsid w:val="00A81948"/>
    <w:rsid w:val="00A86186"/>
    <w:rsid w:val="00A86E48"/>
    <w:rsid w:val="00A86E97"/>
    <w:rsid w:val="00A87F48"/>
    <w:rsid w:val="00A87F4D"/>
    <w:rsid w:val="00A9542E"/>
    <w:rsid w:val="00A966F0"/>
    <w:rsid w:val="00A97661"/>
    <w:rsid w:val="00AA34DC"/>
    <w:rsid w:val="00AA4C26"/>
    <w:rsid w:val="00AA5F6E"/>
    <w:rsid w:val="00AA5FAD"/>
    <w:rsid w:val="00AB1486"/>
    <w:rsid w:val="00AB1516"/>
    <w:rsid w:val="00AB2F67"/>
    <w:rsid w:val="00AB3BDB"/>
    <w:rsid w:val="00AB4170"/>
    <w:rsid w:val="00AB5E16"/>
    <w:rsid w:val="00AB62F3"/>
    <w:rsid w:val="00AB7039"/>
    <w:rsid w:val="00AC0168"/>
    <w:rsid w:val="00AC097A"/>
    <w:rsid w:val="00AC1527"/>
    <w:rsid w:val="00AC20A2"/>
    <w:rsid w:val="00AC39FA"/>
    <w:rsid w:val="00AC4200"/>
    <w:rsid w:val="00AC43F2"/>
    <w:rsid w:val="00AC7632"/>
    <w:rsid w:val="00AD3102"/>
    <w:rsid w:val="00AD5DA1"/>
    <w:rsid w:val="00AD7A7F"/>
    <w:rsid w:val="00AE0930"/>
    <w:rsid w:val="00AE0CC6"/>
    <w:rsid w:val="00AE1417"/>
    <w:rsid w:val="00AE16AD"/>
    <w:rsid w:val="00AE29E5"/>
    <w:rsid w:val="00AF0690"/>
    <w:rsid w:val="00AF1D17"/>
    <w:rsid w:val="00AF37E9"/>
    <w:rsid w:val="00AF616A"/>
    <w:rsid w:val="00AF61B8"/>
    <w:rsid w:val="00AF6C08"/>
    <w:rsid w:val="00B00C57"/>
    <w:rsid w:val="00B021E9"/>
    <w:rsid w:val="00B03DB4"/>
    <w:rsid w:val="00B04806"/>
    <w:rsid w:val="00B04861"/>
    <w:rsid w:val="00B050E7"/>
    <w:rsid w:val="00B052E6"/>
    <w:rsid w:val="00B05C05"/>
    <w:rsid w:val="00B0618D"/>
    <w:rsid w:val="00B116A8"/>
    <w:rsid w:val="00B139EE"/>
    <w:rsid w:val="00B1450E"/>
    <w:rsid w:val="00B17ED2"/>
    <w:rsid w:val="00B209C8"/>
    <w:rsid w:val="00B213DE"/>
    <w:rsid w:val="00B213E4"/>
    <w:rsid w:val="00B23CB3"/>
    <w:rsid w:val="00B2481C"/>
    <w:rsid w:val="00B26C81"/>
    <w:rsid w:val="00B26DAA"/>
    <w:rsid w:val="00B274B9"/>
    <w:rsid w:val="00B30003"/>
    <w:rsid w:val="00B30DFC"/>
    <w:rsid w:val="00B3200F"/>
    <w:rsid w:val="00B3344D"/>
    <w:rsid w:val="00B35BA2"/>
    <w:rsid w:val="00B362AD"/>
    <w:rsid w:val="00B372D0"/>
    <w:rsid w:val="00B40D8F"/>
    <w:rsid w:val="00B41ED2"/>
    <w:rsid w:val="00B41EFC"/>
    <w:rsid w:val="00B431EC"/>
    <w:rsid w:val="00B4334F"/>
    <w:rsid w:val="00B452E7"/>
    <w:rsid w:val="00B45FDC"/>
    <w:rsid w:val="00B468AC"/>
    <w:rsid w:val="00B47D4E"/>
    <w:rsid w:val="00B5011E"/>
    <w:rsid w:val="00B51AF2"/>
    <w:rsid w:val="00B51C8D"/>
    <w:rsid w:val="00B55AAC"/>
    <w:rsid w:val="00B563AF"/>
    <w:rsid w:val="00B569FC"/>
    <w:rsid w:val="00B56C9E"/>
    <w:rsid w:val="00B60FD4"/>
    <w:rsid w:val="00B6169D"/>
    <w:rsid w:val="00B63334"/>
    <w:rsid w:val="00B64D46"/>
    <w:rsid w:val="00B64DCE"/>
    <w:rsid w:val="00B65009"/>
    <w:rsid w:val="00B65A58"/>
    <w:rsid w:val="00B665E5"/>
    <w:rsid w:val="00B66AB0"/>
    <w:rsid w:val="00B675DB"/>
    <w:rsid w:val="00B707AD"/>
    <w:rsid w:val="00B70A25"/>
    <w:rsid w:val="00B71064"/>
    <w:rsid w:val="00B71275"/>
    <w:rsid w:val="00B7415D"/>
    <w:rsid w:val="00B773E9"/>
    <w:rsid w:val="00B77AB5"/>
    <w:rsid w:val="00B77F07"/>
    <w:rsid w:val="00B80B20"/>
    <w:rsid w:val="00B822D2"/>
    <w:rsid w:val="00B85DC3"/>
    <w:rsid w:val="00B85E84"/>
    <w:rsid w:val="00B86D5B"/>
    <w:rsid w:val="00B86DF5"/>
    <w:rsid w:val="00B914C8"/>
    <w:rsid w:val="00B918F0"/>
    <w:rsid w:val="00B920F3"/>
    <w:rsid w:val="00B932FB"/>
    <w:rsid w:val="00B9359D"/>
    <w:rsid w:val="00B943FB"/>
    <w:rsid w:val="00B94695"/>
    <w:rsid w:val="00B97F3A"/>
    <w:rsid w:val="00BA2680"/>
    <w:rsid w:val="00BA44D5"/>
    <w:rsid w:val="00BA5C8E"/>
    <w:rsid w:val="00BA686E"/>
    <w:rsid w:val="00BA6999"/>
    <w:rsid w:val="00BA7035"/>
    <w:rsid w:val="00BA7C3A"/>
    <w:rsid w:val="00BB0ECA"/>
    <w:rsid w:val="00BB32AD"/>
    <w:rsid w:val="00BB4FEB"/>
    <w:rsid w:val="00BB7076"/>
    <w:rsid w:val="00BC2119"/>
    <w:rsid w:val="00BC253E"/>
    <w:rsid w:val="00BC458F"/>
    <w:rsid w:val="00BC6E39"/>
    <w:rsid w:val="00BD1148"/>
    <w:rsid w:val="00BD1FDB"/>
    <w:rsid w:val="00BD3512"/>
    <w:rsid w:val="00BD4A81"/>
    <w:rsid w:val="00BD5045"/>
    <w:rsid w:val="00BD5063"/>
    <w:rsid w:val="00BE0589"/>
    <w:rsid w:val="00BE159C"/>
    <w:rsid w:val="00BE15E5"/>
    <w:rsid w:val="00BE74A8"/>
    <w:rsid w:val="00BF0185"/>
    <w:rsid w:val="00BF07E4"/>
    <w:rsid w:val="00BF0EB9"/>
    <w:rsid w:val="00BF1259"/>
    <w:rsid w:val="00BF12E5"/>
    <w:rsid w:val="00BF1A15"/>
    <w:rsid w:val="00BF238F"/>
    <w:rsid w:val="00BF36D0"/>
    <w:rsid w:val="00BF3A83"/>
    <w:rsid w:val="00BF77A2"/>
    <w:rsid w:val="00C00823"/>
    <w:rsid w:val="00C0494C"/>
    <w:rsid w:val="00C05286"/>
    <w:rsid w:val="00C05DC0"/>
    <w:rsid w:val="00C06BEF"/>
    <w:rsid w:val="00C07A0B"/>
    <w:rsid w:val="00C108F6"/>
    <w:rsid w:val="00C113CB"/>
    <w:rsid w:val="00C13C15"/>
    <w:rsid w:val="00C1506F"/>
    <w:rsid w:val="00C158BD"/>
    <w:rsid w:val="00C15BDA"/>
    <w:rsid w:val="00C15EFF"/>
    <w:rsid w:val="00C17563"/>
    <w:rsid w:val="00C17E34"/>
    <w:rsid w:val="00C2066D"/>
    <w:rsid w:val="00C222B7"/>
    <w:rsid w:val="00C23979"/>
    <w:rsid w:val="00C2547B"/>
    <w:rsid w:val="00C25CEB"/>
    <w:rsid w:val="00C25E49"/>
    <w:rsid w:val="00C25F58"/>
    <w:rsid w:val="00C26F9C"/>
    <w:rsid w:val="00C314D9"/>
    <w:rsid w:val="00C34660"/>
    <w:rsid w:val="00C36710"/>
    <w:rsid w:val="00C3762C"/>
    <w:rsid w:val="00C4023F"/>
    <w:rsid w:val="00C40F7D"/>
    <w:rsid w:val="00C42CF3"/>
    <w:rsid w:val="00C447C4"/>
    <w:rsid w:val="00C44B4E"/>
    <w:rsid w:val="00C5089E"/>
    <w:rsid w:val="00C50926"/>
    <w:rsid w:val="00C52ED1"/>
    <w:rsid w:val="00C5320B"/>
    <w:rsid w:val="00C55085"/>
    <w:rsid w:val="00C55656"/>
    <w:rsid w:val="00C56263"/>
    <w:rsid w:val="00C567ED"/>
    <w:rsid w:val="00C57D62"/>
    <w:rsid w:val="00C60C51"/>
    <w:rsid w:val="00C6153D"/>
    <w:rsid w:val="00C62A6E"/>
    <w:rsid w:val="00C62EE3"/>
    <w:rsid w:val="00C63F6F"/>
    <w:rsid w:val="00C708AD"/>
    <w:rsid w:val="00C71578"/>
    <w:rsid w:val="00C719D9"/>
    <w:rsid w:val="00C768E8"/>
    <w:rsid w:val="00C801E5"/>
    <w:rsid w:val="00C80570"/>
    <w:rsid w:val="00C806E0"/>
    <w:rsid w:val="00C80D28"/>
    <w:rsid w:val="00C8129B"/>
    <w:rsid w:val="00C837F4"/>
    <w:rsid w:val="00C83E3F"/>
    <w:rsid w:val="00C8485C"/>
    <w:rsid w:val="00C84F3A"/>
    <w:rsid w:val="00C866A0"/>
    <w:rsid w:val="00C86C2F"/>
    <w:rsid w:val="00C86C6B"/>
    <w:rsid w:val="00C874CC"/>
    <w:rsid w:val="00C9160F"/>
    <w:rsid w:val="00C91956"/>
    <w:rsid w:val="00C93903"/>
    <w:rsid w:val="00C963D9"/>
    <w:rsid w:val="00CA0AD3"/>
    <w:rsid w:val="00CA2CBA"/>
    <w:rsid w:val="00CA65D6"/>
    <w:rsid w:val="00CA7E08"/>
    <w:rsid w:val="00CB126E"/>
    <w:rsid w:val="00CB419D"/>
    <w:rsid w:val="00CB4AA2"/>
    <w:rsid w:val="00CB5502"/>
    <w:rsid w:val="00CB7592"/>
    <w:rsid w:val="00CC0B54"/>
    <w:rsid w:val="00CC1146"/>
    <w:rsid w:val="00CC1DB4"/>
    <w:rsid w:val="00CC2505"/>
    <w:rsid w:val="00CC253B"/>
    <w:rsid w:val="00CC2C99"/>
    <w:rsid w:val="00CC349A"/>
    <w:rsid w:val="00CD1400"/>
    <w:rsid w:val="00CD15A6"/>
    <w:rsid w:val="00CD19A6"/>
    <w:rsid w:val="00CD45BF"/>
    <w:rsid w:val="00CD48D6"/>
    <w:rsid w:val="00CD4CFB"/>
    <w:rsid w:val="00CD6734"/>
    <w:rsid w:val="00CD6BED"/>
    <w:rsid w:val="00CD6E1E"/>
    <w:rsid w:val="00CD71A0"/>
    <w:rsid w:val="00CD71BD"/>
    <w:rsid w:val="00CE0359"/>
    <w:rsid w:val="00CE0E7A"/>
    <w:rsid w:val="00CE0F65"/>
    <w:rsid w:val="00CE3541"/>
    <w:rsid w:val="00CE3BBC"/>
    <w:rsid w:val="00CE403C"/>
    <w:rsid w:val="00CE6185"/>
    <w:rsid w:val="00CE6AC5"/>
    <w:rsid w:val="00CF17FB"/>
    <w:rsid w:val="00CF1875"/>
    <w:rsid w:val="00CF21CD"/>
    <w:rsid w:val="00CF3DD5"/>
    <w:rsid w:val="00CF6F22"/>
    <w:rsid w:val="00CF7547"/>
    <w:rsid w:val="00CF7D64"/>
    <w:rsid w:val="00D00687"/>
    <w:rsid w:val="00D026DF"/>
    <w:rsid w:val="00D03368"/>
    <w:rsid w:val="00D04748"/>
    <w:rsid w:val="00D117E9"/>
    <w:rsid w:val="00D124A1"/>
    <w:rsid w:val="00D12624"/>
    <w:rsid w:val="00D12C23"/>
    <w:rsid w:val="00D14971"/>
    <w:rsid w:val="00D167E9"/>
    <w:rsid w:val="00D20947"/>
    <w:rsid w:val="00D20B5A"/>
    <w:rsid w:val="00D21585"/>
    <w:rsid w:val="00D22A14"/>
    <w:rsid w:val="00D25897"/>
    <w:rsid w:val="00D26514"/>
    <w:rsid w:val="00D3233B"/>
    <w:rsid w:val="00D32375"/>
    <w:rsid w:val="00D33F72"/>
    <w:rsid w:val="00D34FD4"/>
    <w:rsid w:val="00D356C4"/>
    <w:rsid w:val="00D40021"/>
    <w:rsid w:val="00D412F3"/>
    <w:rsid w:val="00D41F89"/>
    <w:rsid w:val="00D42009"/>
    <w:rsid w:val="00D4371E"/>
    <w:rsid w:val="00D44A45"/>
    <w:rsid w:val="00D46381"/>
    <w:rsid w:val="00D47296"/>
    <w:rsid w:val="00D47D3D"/>
    <w:rsid w:val="00D47D58"/>
    <w:rsid w:val="00D50717"/>
    <w:rsid w:val="00D507D1"/>
    <w:rsid w:val="00D50886"/>
    <w:rsid w:val="00D52922"/>
    <w:rsid w:val="00D53CDB"/>
    <w:rsid w:val="00D54574"/>
    <w:rsid w:val="00D55767"/>
    <w:rsid w:val="00D5733C"/>
    <w:rsid w:val="00D61C98"/>
    <w:rsid w:val="00D6288C"/>
    <w:rsid w:val="00D63CCE"/>
    <w:rsid w:val="00D65201"/>
    <w:rsid w:val="00D66183"/>
    <w:rsid w:val="00D70E21"/>
    <w:rsid w:val="00D72022"/>
    <w:rsid w:val="00D73C9E"/>
    <w:rsid w:val="00D75306"/>
    <w:rsid w:val="00D753D3"/>
    <w:rsid w:val="00D754A3"/>
    <w:rsid w:val="00D77EE8"/>
    <w:rsid w:val="00D80C53"/>
    <w:rsid w:val="00D82CE5"/>
    <w:rsid w:val="00D8579D"/>
    <w:rsid w:val="00D85EE6"/>
    <w:rsid w:val="00D862CB"/>
    <w:rsid w:val="00D91C7D"/>
    <w:rsid w:val="00D952F3"/>
    <w:rsid w:val="00D958A5"/>
    <w:rsid w:val="00D95BFC"/>
    <w:rsid w:val="00D96090"/>
    <w:rsid w:val="00D9669B"/>
    <w:rsid w:val="00D96F29"/>
    <w:rsid w:val="00D97CC8"/>
    <w:rsid w:val="00DA3DA8"/>
    <w:rsid w:val="00DA4D35"/>
    <w:rsid w:val="00DA6386"/>
    <w:rsid w:val="00DA6707"/>
    <w:rsid w:val="00DA6931"/>
    <w:rsid w:val="00DA77E1"/>
    <w:rsid w:val="00DB0A49"/>
    <w:rsid w:val="00DB172C"/>
    <w:rsid w:val="00DB3CEF"/>
    <w:rsid w:val="00DB4DF1"/>
    <w:rsid w:val="00DB53A0"/>
    <w:rsid w:val="00DB5A5F"/>
    <w:rsid w:val="00DB6D18"/>
    <w:rsid w:val="00DB7327"/>
    <w:rsid w:val="00DB786A"/>
    <w:rsid w:val="00DC08F4"/>
    <w:rsid w:val="00DC0B37"/>
    <w:rsid w:val="00DC0F29"/>
    <w:rsid w:val="00DC4CED"/>
    <w:rsid w:val="00DC5562"/>
    <w:rsid w:val="00DC668F"/>
    <w:rsid w:val="00DC6DC6"/>
    <w:rsid w:val="00DC74AE"/>
    <w:rsid w:val="00DD0A56"/>
    <w:rsid w:val="00DD1267"/>
    <w:rsid w:val="00DD3F5C"/>
    <w:rsid w:val="00DD3F94"/>
    <w:rsid w:val="00DD40E9"/>
    <w:rsid w:val="00DD5694"/>
    <w:rsid w:val="00DD6695"/>
    <w:rsid w:val="00DD6C3C"/>
    <w:rsid w:val="00DD7D18"/>
    <w:rsid w:val="00DE02AC"/>
    <w:rsid w:val="00DE1B27"/>
    <w:rsid w:val="00DE37BF"/>
    <w:rsid w:val="00DE5D1A"/>
    <w:rsid w:val="00DE61EB"/>
    <w:rsid w:val="00DE7404"/>
    <w:rsid w:val="00DF0CCB"/>
    <w:rsid w:val="00DF3B42"/>
    <w:rsid w:val="00DF624D"/>
    <w:rsid w:val="00E003BA"/>
    <w:rsid w:val="00E028BD"/>
    <w:rsid w:val="00E02E25"/>
    <w:rsid w:val="00E03064"/>
    <w:rsid w:val="00E03966"/>
    <w:rsid w:val="00E073F0"/>
    <w:rsid w:val="00E1277D"/>
    <w:rsid w:val="00E130C6"/>
    <w:rsid w:val="00E13B73"/>
    <w:rsid w:val="00E15236"/>
    <w:rsid w:val="00E159BB"/>
    <w:rsid w:val="00E16CA4"/>
    <w:rsid w:val="00E208CF"/>
    <w:rsid w:val="00E20CB7"/>
    <w:rsid w:val="00E20FF9"/>
    <w:rsid w:val="00E217D7"/>
    <w:rsid w:val="00E22D11"/>
    <w:rsid w:val="00E255D6"/>
    <w:rsid w:val="00E25BF4"/>
    <w:rsid w:val="00E262CF"/>
    <w:rsid w:val="00E273E0"/>
    <w:rsid w:val="00E30C14"/>
    <w:rsid w:val="00E30FBB"/>
    <w:rsid w:val="00E328D6"/>
    <w:rsid w:val="00E3318F"/>
    <w:rsid w:val="00E3496D"/>
    <w:rsid w:val="00E34F19"/>
    <w:rsid w:val="00E35B7F"/>
    <w:rsid w:val="00E3777C"/>
    <w:rsid w:val="00E37FC1"/>
    <w:rsid w:val="00E40E47"/>
    <w:rsid w:val="00E42706"/>
    <w:rsid w:val="00E42852"/>
    <w:rsid w:val="00E42861"/>
    <w:rsid w:val="00E438AD"/>
    <w:rsid w:val="00E44161"/>
    <w:rsid w:val="00E441EA"/>
    <w:rsid w:val="00E46610"/>
    <w:rsid w:val="00E472EC"/>
    <w:rsid w:val="00E51A25"/>
    <w:rsid w:val="00E54824"/>
    <w:rsid w:val="00E57C48"/>
    <w:rsid w:val="00E6128D"/>
    <w:rsid w:val="00E64E32"/>
    <w:rsid w:val="00E6551C"/>
    <w:rsid w:val="00E65D69"/>
    <w:rsid w:val="00E65EED"/>
    <w:rsid w:val="00E6641C"/>
    <w:rsid w:val="00E672F1"/>
    <w:rsid w:val="00E7067F"/>
    <w:rsid w:val="00E70E90"/>
    <w:rsid w:val="00E71B9B"/>
    <w:rsid w:val="00E735D4"/>
    <w:rsid w:val="00E73C45"/>
    <w:rsid w:val="00E74484"/>
    <w:rsid w:val="00E74EFB"/>
    <w:rsid w:val="00E76A45"/>
    <w:rsid w:val="00E801A7"/>
    <w:rsid w:val="00E80B19"/>
    <w:rsid w:val="00E8482B"/>
    <w:rsid w:val="00E8572E"/>
    <w:rsid w:val="00E858B4"/>
    <w:rsid w:val="00E85A25"/>
    <w:rsid w:val="00E86300"/>
    <w:rsid w:val="00E871DE"/>
    <w:rsid w:val="00E92054"/>
    <w:rsid w:val="00E94BBF"/>
    <w:rsid w:val="00E952F8"/>
    <w:rsid w:val="00E95BF8"/>
    <w:rsid w:val="00EA594B"/>
    <w:rsid w:val="00EA7CD9"/>
    <w:rsid w:val="00EB1286"/>
    <w:rsid w:val="00EB51AE"/>
    <w:rsid w:val="00EB553D"/>
    <w:rsid w:val="00EB57F9"/>
    <w:rsid w:val="00EB65DD"/>
    <w:rsid w:val="00EB7F2C"/>
    <w:rsid w:val="00EC0A99"/>
    <w:rsid w:val="00EC0F08"/>
    <w:rsid w:val="00EC30BA"/>
    <w:rsid w:val="00EC45D6"/>
    <w:rsid w:val="00EC4A98"/>
    <w:rsid w:val="00EC4F9B"/>
    <w:rsid w:val="00EC6495"/>
    <w:rsid w:val="00EC663B"/>
    <w:rsid w:val="00ED14F3"/>
    <w:rsid w:val="00ED1FF0"/>
    <w:rsid w:val="00ED3886"/>
    <w:rsid w:val="00ED38B7"/>
    <w:rsid w:val="00ED4652"/>
    <w:rsid w:val="00ED4987"/>
    <w:rsid w:val="00ED5175"/>
    <w:rsid w:val="00ED5F75"/>
    <w:rsid w:val="00ED6BB0"/>
    <w:rsid w:val="00ED6EB9"/>
    <w:rsid w:val="00ED7AB0"/>
    <w:rsid w:val="00EE1978"/>
    <w:rsid w:val="00EE31D7"/>
    <w:rsid w:val="00EE35CA"/>
    <w:rsid w:val="00EE5241"/>
    <w:rsid w:val="00EE5601"/>
    <w:rsid w:val="00EE588A"/>
    <w:rsid w:val="00EF05B8"/>
    <w:rsid w:val="00EF0A4E"/>
    <w:rsid w:val="00EF2DBB"/>
    <w:rsid w:val="00EF3EC4"/>
    <w:rsid w:val="00EF58E7"/>
    <w:rsid w:val="00EF5B7B"/>
    <w:rsid w:val="00EF781E"/>
    <w:rsid w:val="00F0014E"/>
    <w:rsid w:val="00F00A13"/>
    <w:rsid w:val="00F01088"/>
    <w:rsid w:val="00F01FF8"/>
    <w:rsid w:val="00F04563"/>
    <w:rsid w:val="00F05BCD"/>
    <w:rsid w:val="00F05E70"/>
    <w:rsid w:val="00F11479"/>
    <w:rsid w:val="00F12AA3"/>
    <w:rsid w:val="00F131FB"/>
    <w:rsid w:val="00F1388D"/>
    <w:rsid w:val="00F146D8"/>
    <w:rsid w:val="00F214EB"/>
    <w:rsid w:val="00F21A98"/>
    <w:rsid w:val="00F21CD8"/>
    <w:rsid w:val="00F2205C"/>
    <w:rsid w:val="00F224AF"/>
    <w:rsid w:val="00F235F2"/>
    <w:rsid w:val="00F24C8F"/>
    <w:rsid w:val="00F261FC"/>
    <w:rsid w:val="00F26F72"/>
    <w:rsid w:val="00F31576"/>
    <w:rsid w:val="00F32D79"/>
    <w:rsid w:val="00F34FF6"/>
    <w:rsid w:val="00F40ADB"/>
    <w:rsid w:val="00F40E12"/>
    <w:rsid w:val="00F40E6A"/>
    <w:rsid w:val="00F42773"/>
    <w:rsid w:val="00F42DDB"/>
    <w:rsid w:val="00F435DB"/>
    <w:rsid w:val="00F44D89"/>
    <w:rsid w:val="00F459EA"/>
    <w:rsid w:val="00F46FE8"/>
    <w:rsid w:val="00F47BC7"/>
    <w:rsid w:val="00F504D0"/>
    <w:rsid w:val="00F5568B"/>
    <w:rsid w:val="00F56CAB"/>
    <w:rsid w:val="00F574D0"/>
    <w:rsid w:val="00F57DEF"/>
    <w:rsid w:val="00F606F4"/>
    <w:rsid w:val="00F632B4"/>
    <w:rsid w:val="00F637E6"/>
    <w:rsid w:val="00F63B22"/>
    <w:rsid w:val="00F65DA7"/>
    <w:rsid w:val="00F6642F"/>
    <w:rsid w:val="00F67489"/>
    <w:rsid w:val="00F707FB"/>
    <w:rsid w:val="00F70B84"/>
    <w:rsid w:val="00F71515"/>
    <w:rsid w:val="00F71997"/>
    <w:rsid w:val="00F7413B"/>
    <w:rsid w:val="00F75AE9"/>
    <w:rsid w:val="00F75BEB"/>
    <w:rsid w:val="00F75E99"/>
    <w:rsid w:val="00F76004"/>
    <w:rsid w:val="00F802C1"/>
    <w:rsid w:val="00F812EA"/>
    <w:rsid w:val="00F81468"/>
    <w:rsid w:val="00F8257A"/>
    <w:rsid w:val="00F82C88"/>
    <w:rsid w:val="00F83D2A"/>
    <w:rsid w:val="00F8421C"/>
    <w:rsid w:val="00F84735"/>
    <w:rsid w:val="00F84C10"/>
    <w:rsid w:val="00F86695"/>
    <w:rsid w:val="00F86759"/>
    <w:rsid w:val="00F910D6"/>
    <w:rsid w:val="00F95415"/>
    <w:rsid w:val="00F965EA"/>
    <w:rsid w:val="00F97266"/>
    <w:rsid w:val="00FA1E8E"/>
    <w:rsid w:val="00FA4FD3"/>
    <w:rsid w:val="00FA6BFC"/>
    <w:rsid w:val="00FA7AE6"/>
    <w:rsid w:val="00FB0671"/>
    <w:rsid w:val="00FB1A94"/>
    <w:rsid w:val="00FB1D8B"/>
    <w:rsid w:val="00FB2CF9"/>
    <w:rsid w:val="00FB3520"/>
    <w:rsid w:val="00FB4798"/>
    <w:rsid w:val="00FB6AEE"/>
    <w:rsid w:val="00FC5B57"/>
    <w:rsid w:val="00FC6414"/>
    <w:rsid w:val="00FC675D"/>
    <w:rsid w:val="00FC7E00"/>
    <w:rsid w:val="00FD0723"/>
    <w:rsid w:val="00FD1565"/>
    <w:rsid w:val="00FD1CE6"/>
    <w:rsid w:val="00FD2CC1"/>
    <w:rsid w:val="00FD73EF"/>
    <w:rsid w:val="00FE0BF5"/>
    <w:rsid w:val="00FE1817"/>
    <w:rsid w:val="00FE2790"/>
    <w:rsid w:val="00FE3E04"/>
    <w:rsid w:val="00FE49CF"/>
    <w:rsid w:val="00FE6479"/>
    <w:rsid w:val="00FF0EBC"/>
    <w:rsid w:val="00FF3107"/>
    <w:rsid w:val="00FF473F"/>
    <w:rsid w:val="00FF4FB3"/>
    <w:rsid w:val="00FF5367"/>
    <w:rsid w:val="00FF5F1F"/>
    <w:rsid w:val="00FF619F"/>
    <w:rsid w:val="00FF6C8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CAB5A"/>
  <w15:chartTrackingRefBased/>
  <w15:docId w15:val="{3E2B19EF-2ACA-4501-A76E-78AE1638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1BD"/>
    <w:pPr>
      <w:spacing w:after="200" w:line="276" w:lineRule="auto"/>
    </w:pPr>
  </w:style>
  <w:style w:type="paragraph" w:styleId="Ttulo1">
    <w:name w:val="heading 1"/>
    <w:basedOn w:val="Normal"/>
    <w:next w:val="Normal"/>
    <w:link w:val="Ttulo1Car"/>
    <w:uiPriority w:val="9"/>
    <w:qFormat/>
    <w:rsid w:val="000547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97206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next w:val="Normal"/>
    <w:link w:val="Ttulo3Car"/>
    <w:uiPriority w:val="9"/>
    <w:semiHidden/>
    <w:unhideWhenUsed/>
    <w:qFormat/>
    <w:rsid w:val="000547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5B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5B22"/>
  </w:style>
  <w:style w:type="paragraph" w:styleId="Piedepgina">
    <w:name w:val="footer"/>
    <w:basedOn w:val="Normal"/>
    <w:link w:val="PiedepginaCar"/>
    <w:uiPriority w:val="99"/>
    <w:unhideWhenUsed/>
    <w:rsid w:val="00395B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5B22"/>
  </w:style>
  <w:style w:type="paragraph" w:styleId="NormalWeb">
    <w:name w:val="Normal (Web)"/>
    <w:basedOn w:val="Normal"/>
    <w:uiPriority w:val="99"/>
    <w:unhideWhenUsed/>
    <w:rsid w:val="00395B22"/>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Sinespaciado">
    <w:name w:val="No Spacing"/>
    <w:link w:val="SinespaciadoCar"/>
    <w:uiPriority w:val="1"/>
    <w:qFormat/>
    <w:rsid w:val="00DE1B27"/>
    <w:pPr>
      <w:spacing w:after="0" w:line="240" w:lineRule="auto"/>
    </w:pPr>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CD71BD"/>
    <w:pPr>
      <w:spacing w:after="0" w:line="240" w:lineRule="auto"/>
      <w:ind w:left="720"/>
      <w:contextualSpacing/>
    </w:pPr>
    <w:rPr>
      <w:rFonts w:ascii="Cambria" w:eastAsia="Times New Roman" w:hAnsi="Cambria" w:cs="Times New Roman"/>
      <w:sz w:val="24"/>
      <w:szCs w:val="24"/>
    </w:rPr>
  </w:style>
  <w:style w:type="paragraph" w:styleId="Textodeglobo">
    <w:name w:val="Balloon Text"/>
    <w:basedOn w:val="Normal"/>
    <w:link w:val="TextodegloboCar"/>
    <w:uiPriority w:val="99"/>
    <w:unhideWhenUsed/>
    <w:rsid w:val="004174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4174E3"/>
    <w:rPr>
      <w:rFonts w:ascii="Segoe UI" w:hAnsi="Segoe UI" w:cs="Segoe UI"/>
      <w:sz w:val="18"/>
      <w:szCs w:val="18"/>
    </w:rPr>
  </w:style>
  <w:style w:type="character" w:styleId="Hipervnculo">
    <w:name w:val="Hyperlink"/>
    <w:basedOn w:val="Fuentedeprrafopredeter"/>
    <w:uiPriority w:val="99"/>
    <w:unhideWhenUsed/>
    <w:rsid w:val="0031783B"/>
    <w:rPr>
      <w:color w:val="0563C1"/>
      <w:u w:val="single"/>
    </w:rPr>
  </w:style>
  <w:style w:type="character" w:customStyle="1" w:styleId="Ttulo2Car">
    <w:name w:val="Título 2 Car"/>
    <w:basedOn w:val="Fuentedeprrafopredeter"/>
    <w:link w:val="Ttulo2"/>
    <w:uiPriority w:val="9"/>
    <w:rsid w:val="0097206E"/>
    <w:rPr>
      <w:rFonts w:ascii="Times New Roman" w:eastAsia="Times New Roman" w:hAnsi="Times New Roman" w:cs="Times New Roman"/>
      <w:b/>
      <w:bCs/>
      <w:sz w:val="36"/>
      <w:szCs w:val="36"/>
      <w:lang w:val="en-US"/>
    </w:rPr>
  </w:style>
  <w:style w:type="character" w:styleId="Textoennegrita">
    <w:name w:val="Strong"/>
    <w:basedOn w:val="Fuentedeprrafopredeter"/>
    <w:uiPriority w:val="22"/>
    <w:qFormat/>
    <w:rsid w:val="0097206E"/>
    <w:rPr>
      <w:b/>
      <w:bCs/>
    </w:rPr>
  </w:style>
  <w:style w:type="character" w:styleId="nfasis">
    <w:name w:val="Emphasis"/>
    <w:basedOn w:val="Fuentedeprrafopredeter"/>
    <w:uiPriority w:val="20"/>
    <w:qFormat/>
    <w:rsid w:val="0097206E"/>
    <w:rPr>
      <w:i/>
      <w:iCs/>
    </w:rPr>
  </w:style>
  <w:style w:type="character" w:customStyle="1" w:styleId="hgkelc">
    <w:name w:val="hgkelc"/>
    <w:basedOn w:val="Fuentedeprrafopredeter"/>
    <w:rsid w:val="006A3FBE"/>
  </w:style>
  <w:style w:type="table" w:styleId="Tablaconcuadrcula">
    <w:name w:val="Table Grid"/>
    <w:basedOn w:val="Tablanormal"/>
    <w:uiPriority w:val="39"/>
    <w:qFormat/>
    <w:rsid w:val="00CD4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875BF6"/>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875BF6"/>
    <w:rPr>
      <w:rFonts w:eastAsiaTheme="minorEastAsia"/>
      <w:color w:val="5A5A5A" w:themeColor="text1" w:themeTint="A5"/>
      <w:spacing w:val="15"/>
    </w:r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F40E12"/>
    <w:rPr>
      <w:rFonts w:ascii="Cambria" w:eastAsia="Times New Roman" w:hAnsi="Cambria" w:cs="Times New Roman"/>
      <w:sz w:val="24"/>
      <w:szCs w:val="24"/>
    </w:rPr>
  </w:style>
  <w:style w:type="paragraph" w:styleId="Textoindependiente">
    <w:name w:val="Body Text"/>
    <w:basedOn w:val="Normal"/>
    <w:link w:val="TextoindependienteCar"/>
    <w:uiPriority w:val="99"/>
    <w:unhideWhenUsed/>
    <w:rsid w:val="00E85A25"/>
    <w:pPr>
      <w:spacing w:after="120"/>
    </w:pPr>
  </w:style>
  <w:style w:type="character" w:customStyle="1" w:styleId="TextoindependienteCar">
    <w:name w:val="Texto independiente Car"/>
    <w:basedOn w:val="Fuentedeprrafopredeter"/>
    <w:link w:val="Textoindependiente"/>
    <w:uiPriority w:val="99"/>
    <w:rsid w:val="00E85A25"/>
  </w:style>
  <w:style w:type="paragraph" w:styleId="Lista">
    <w:name w:val="List"/>
    <w:basedOn w:val="Normal"/>
    <w:uiPriority w:val="99"/>
    <w:unhideWhenUsed/>
    <w:rsid w:val="002A763C"/>
    <w:pPr>
      <w:ind w:left="283" w:hanging="283"/>
      <w:contextualSpacing/>
    </w:pPr>
  </w:style>
  <w:style w:type="character" w:customStyle="1" w:styleId="Ttulo3Car">
    <w:name w:val="Título 3 Car"/>
    <w:basedOn w:val="Fuentedeprrafopredeter"/>
    <w:link w:val="Ttulo3"/>
    <w:uiPriority w:val="9"/>
    <w:semiHidden/>
    <w:rsid w:val="0005473E"/>
    <w:rPr>
      <w:rFonts w:asciiTheme="majorHAnsi" w:eastAsiaTheme="majorEastAsia" w:hAnsiTheme="majorHAnsi" w:cstheme="majorBidi"/>
      <w:color w:val="1F3763" w:themeColor="accent1" w:themeShade="7F"/>
      <w:sz w:val="24"/>
      <w:szCs w:val="24"/>
    </w:rPr>
  </w:style>
  <w:style w:type="character" w:customStyle="1" w:styleId="field-name-field-definicion">
    <w:name w:val="field-name-field-definicion"/>
    <w:basedOn w:val="Fuentedeprrafopredeter"/>
    <w:rsid w:val="0005473E"/>
  </w:style>
  <w:style w:type="character" w:customStyle="1" w:styleId="Ttulo1Car">
    <w:name w:val="Título 1 Car"/>
    <w:basedOn w:val="Fuentedeprrafopredeter"/>
    <w:link w:val="Ttulo1"/>
    <w:uiPriority w:val="9"/>
    <w:rsid w:val="0005473E"/>
    <w:rPr>
      <w:rFonts w:asciiTheme="majorHAnsi" w:eastAsiaTheme="majorEastAsia" w:hAnsiTheme="majorHAnsi" w:cstheme="majorBidi"/>
      <w:color w:val="2F5496" w:themeColor="accent1" w:themeShade="BF"/>
      <w:sz w:val="32"/>
      <w:szCs w:val="32"/>
    </w:rPr>
  </w:style>
  <w:style w:type="paragraph" w:styleId="Textonotapie">
    <w:name w:val="footnote text"/>
    <w:basedOn w:val="Normal"/>
    <w:link w:val="TextonotapieCar"/>
    <w:uiPriority w:val="99"/>
    <w:semiHidden/>
    <w:unhideWhenUsed/>
    <w:rsid w:val="0045642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56428"/>
    <w:rPr>
      <w:sz w:val="20"/>
      <w:szCs w:val="20"/>
    </w:rPr>
  </w:style>
  <w:style w:type="character" w:styleId="Refdenotaalpie">
    <w:name w:val="footnote reference"/>
    <w:basedOn w:val="Fuentedeprrafopredeter"/>
    <w:uiPriority w:val="99"/>
    <w:semiHidden/>
    <w:unhideWhenUsed/>
    <w:rsid w:val="00456428"/>
    <w:rPr>
      <w:vertAlign w:val="superscript"/>
    </w:rPr>
  </w:style>
  <w:style w:type="character" w:customStyle="1" w:styleId="uv3um">
    <w:name w:val="uv3um"/>
    <w:basedOn w:val="Fuentedeprrafopredeter"/>
    <w:rsid w:val="005F1734"/>
  </w:style>
  <w:style w:type="character" w:customStyle="1" w:styleId="oxzekf">
    <w:name w:val="oxzekf"/>
    <w:basedOn w:val="Fuentedeprrafopredeter"/>
    <w:rsid w:val="005F1734"/>
  </w:style>
  <w:style w:type="character" w:customStyle="1" w:styleId="relative">
    <w:name w:val="relative"/>
    <w:basedOn w:val="Fuentedeprrafopredeter"/>
    <w:rsid w:val="005F1734"/>
  </w:style>
  <w:style w:type="character" w:customStyle="1" w:styleId="ms-1">
    <w:name w:val="ms-1"/>
    <w:basedOn w:val="Fuentedeprrafopredeter"/>
    <w:rsid w:val="005F1734"/>
  </w:style>
  <w:style w:type="character" w:customStyle="1" w:styleId="max-w-full">
    <w:name w:val="max-w-full"/>
    <w:basedOn w:val="Fuentedeprrafopredeter"/>
    <w:rsid w:val="005F1734"/>
  </w:style>
  <w:style w:type="character" w:customStyle="1" w:styleId="-me-1">
    <w:name w:val="-me-1"/>
    <w:basedOn w:val="Fuentedeprrafopredeter"/>
    <w:rsid w:val="005F1734"/>
  </w:style>
  <w:style w:type="character" w:customStyle="1" w:styleId="SinespaciadoCar">
    <w:name w:val="Sin espaciado Car"/>
    <w:link w:val="Sinespaciado"/>
    <w:uiPriority w:val="1"/>
    <w:locked/>
    <w:rsid w:val="00CD71A0"/>
  </w:style>
  <w:style w:type="character" w:customStyle="1" w:styleId="ext-mb-text">
    <w:name w:val="ext-mb-text"/>
    <w:basedOn w:val="Fuentedeprrafopredeter"/>
    <w:rsid w:val="00CA0AD3"/>
  </w:style>
  <w:style w:type="table" w:customStyle="1" w:styleId="TableGrid">
    <w:name w:val="TableGrid"/>
    <w:rsid w:val="00611E8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ng-star-inserted">
    <w:name w:val="ng-star-inserted"/>
    <w:basedOn w:val="Fuentedeprrafopredeter"/>
    <w:rsid w:val="00433364"/>
  </w:style>
  <w:style w:type="paragraph" w:customStyle="1" w:styleId="Default">
    <w:name w:val="Default"/>
    <w:rsid w:val="00B372D0"/>
    <w:pPr>
      <w:autoSpaceDE w:val="0"/>
      <w:autoSpaceDN w:val="0"/>
      <w:adjustRightInd w:val="0"/>
      <w:spacing w:after="0" w:line="240" w:lineRule="auto"/>
    </w:pPr>
    <w:rPr>
      <w:rFonts w:ascii="Franklin Gothic Book"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1765">
      <w:bodyDiv w:val="1"/>
      <w:marLeft w:val="0"/>
      <w:marRight w:val="0"/>
      <w:marTop w:val="0"/>
      <w:marBottom w:val="0"/>
      <w:divBdr>
        <w:top w:val="none" w:sz="0" w:space="0" w:color="auto"/>
        <w:left w:val="none" w:sz="0" w:space="0" w:color="auto"/>
        <w:bottom w:val="none" w:sz="0" w:space="0" w:color="auto"/>
        <w:right w:val="none" w:sz="0" w:space="0" w:color="auto"/>
      </w:divBdr>
    </w:div>
    <w:div w:id="144317453">
      <w:bodyDiv w:val="1"/>
      <w:marLeft w:val="0"/>
      <w:marRight w:val="0"/>
      <w:marTop w:val="0"/>
      <w:marBottom w:val="0"/>
      <w:divBdr>
        <w:top w:val="none" w:sz="0" w:space="0" w:color="auto"/>
        <w:left w:val="none" w:sz="0" w:space="0" w:color="auto"/>
        <w:bottom w:val="none" w:sz="0" w:space="0" w:color="auto"/>
        <w:right w:val="none" w:sz="0" w:space="0" w:color="auto"/>
      </w:divBdr>
    </w:div>
    <w:div w:id="343630115">
      <w:bodyDiv w:val="1"/>
      <w:marLeft w:val="0"/>
      <w:marRight w:val="0"/>
      <w:marTop w:val="0"/>
      <w:marBottom w:val="0"/>
      <w:divBdr>
        <w:top w:val="none" w:sz="0" w:space="0" w:color="auto"/>
        <w:left w:val="none" w:sz="0" w:space="0" w:color="auto"/>
        <w:bottom w:val="none" w:sz="0" w:space="0" w:color="auto"/>
        <w:right w:val="none" w:sz="0" w:space="0" w:color="auto"/>
      </w:divBdr>
    </w:div>
    <w:div w:id="435298524">
      <w:bodyDiv w:val="1"/>
      <w:marLeft w:val="0"/>
      <w:marRight w:val="0"/>
      <w:marTop w:val="0"/>
      <w:marBottom w:val="0"/>
      <w:divBdr>
        <w:top w:val="none" w:sz="0" w:space="0" w:color="auto"/>
        <w:left w:val="none" w:sz="0" w:space="0" w:color="auto"/>
        <w:bottom w:val="none" w:sz="0" w:space="0" w:color="auto"/>
        <w:right w:val="none" w:sz="0" w:space="0" w:color="auto"/>
      </w:divBdr>
    </w:div>
    <w:div w:id="467673988">
      <w:bodyDiv w:val="1"/>
      <w:marLeft w:val="0"/>
      <w:marRight w:val="0"/>
      <w:marTop w:val="0"/>
      <w:marBottom w:val="0"/>
      <w:divBdr>
        <w:top w:val="none" w:sz="0" w:space="0" w:color="auto"/>
        <w:left w:val="none" w:sz="0" w:space="0" w:color="auto"/>
        <w:bottom w:val="none" w:sz="0" w:space="0" w:color="auto"/>
        <w:right w:val="none" w:sz="0" w:space="0" w:color="auto"/>
      </w:divBdr>
    </w:div>
    <w:div w:id="630356249">
      <w:bodyDiv w:val="1"/>
      <w:marLeft w:val="0"/>
      <w:marRight w:val="0"/>
      <w:marTop w:val="0"/>
      <w:marBottom w:val="0"/>
      <w:divBdr>
        <w:top w:val="none" w:sz="0" w:space="0" w:color="auto"/>
        <w:left w:val="none" w:sz="0" w:space="0" w:color="auto"/>
        <w:bottom w:val="none" w:sz="0" w:space="0" w:color="auto"/>
        <w:right w:val="none" w:sz="0" w:space="0" w:color="auto"/>
      </w:divBdr>
      <w:divsChild>
        <w:div w:id="1315640089">
          <w:marLeft w:val="0"/>
          <w:marRight w:val="0"/>
          <w:marTop w:val="0"/>
          <w:marBottom w:val="0"/>
          <w:divBdr>
            <w:top w:val="none" w:sz="0" w:space="0" w:color="auto"/>
            <w:left w:val="none" w:sz="0" w:space="0" w:color="auto"/>
            <w:bottom w:val="none" w:sz="0" w:space="0" w:color="auto"/>
            <w:right w:val="none" w:sz="0" w:space="0" w:color="auto"/>
          </w:divBdr>
          <w:divsChild>
            <w:div w:id="871963498">
              <w:marLeft w:val="0"/>
              <w:marRight w:val="0"/>
              <w:marTop w:val="0"/>
              <w:marBottom w:val="0"/>
              <w:divBdr>
                <w:top w:val="none" w:sz="0" w:space="0" w:color="auto"/>
                <w:left w:val="none" w:sz="0" w:space="0" w:color="auto"/>
                <w:bottom w:val="none" w:sz="0" w:space="0" w:color="auto"/>
                <w:right w:val="none" w:sz="0" w:space="0" w:color="auto"/>
              </w:divBdr>
              <w:divsChild>
                <w:div w:id="34351542">
                  <w:marLeft w:val="0"/>
                  <w:marRight w:val="0"/>
                  <w:marTop w:val="0"/>
                  <w:marBottom w:val="0"/>
                  <w:divBdr>
                    <w:top w:val="none" w:sz="0" w:space="0" w:color="auto"/>
                    <w:left w:val="none" w:sz="0" w:space="0" w:color="auto"/>
                    <w:bottom w:val="none" w:sz="0" w:space="0" w:color="auto"/>
                    <w:right w:val="none" w:sz="0" w:space="0" w:color="auto"/>
                  </w:divBdr>
                  <w:divsChild>
                    <w:div w:id="2065056492">
                      <w:marLeft w:val="0"/>
                      <w:marRight w:val="0"/>
                      <w:marTop w:val="0"/>
                      <w:marBottom w:val="0"/>
                      <w:divBdr>
                        <w:top w:val="none" w:sz="0" w:space="0" w:color="auto"/>
                        <w:left w:val="none" w:sz="0" w:space="0" w:color="auto"/>
                        <w:bottom w:val="none" w:sz="0" w:space="0" w:color="auto"/>
                        <w:right w:val="none" w:sz="0" w:space="0" w:color="auto"/>
                      </w:divBdr>
                      <w:divsChild>
                        <w:div w:id="56512147">
                          <w:marLeft w:val="0"/>
                          <w:marRight w:val="0"/>
                          <w:marTop w:val="0"/>
                          <w:marBottom w:val="0"/>
                          <w:divBdr>
                            <w:top w:val="none" w:sz="0" w:space="0" w:color="auto"/>
                            <w:left w:val="none" w:sz="0" w:space="0" w:color="auto"/>
                            <w:bottom w:val="none" w:sz="0" w:space="0" w:color="auto"/>
                            <w:right w:val="none" w:sz="0" w:space="0" w:color="auto"/>
                          </w:divBdr>
                          <w:divsChild>
                            <w:div w:id="1689405515">
                              <w:marLeft w:val="0"/>
                              <w:marRight w:val="0"/>
                              <w:marTop w:val="0"/>
                              <w:marBottom w:val="0"/>
                              <w:divBdr>
                                <w:top w:val="none" w:sz="0" w:space="0" w:color="auto"/>
                                <w:left w:val="none" w:sz="0" w:space="0" w:color="auto"/>
                                <w:bottom w:val="none" w:sz="0" w:space="0" w:color="auto"/>
                                <w:right w:val="none" w:sz="0" w:space="0" w:color="auto"/>
                              </w:divBdr>
                              <w:divsChild>
                                <w:div w:id="3811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96432">
      <w:bodyDiv w:val="1"/>
      <w:marLeft w:val="0"/>
      <w:marRight w:val="0"/>
      <w:marTop w:val="0"/>
      <w:marBottom w:val="0"/>
      <w:divBdr>
        <w:top w:val="none" w:sz="0" w:space="0" w:color="auto"/>
        <w:left w:val="none" w:sz="0" w:space="0" w:color="auto"/>
        <w:bottom w:val="none" w:sz="0" w:space="0" w:color="auto"/>
        <w:right w:val="none" w:sz="0" w:space="0" w:color="auto"/>
      </w:divBdr>
    </w:div>
    <w:div w:id="666639636">
      <w:bodyDiv w:val="1"/>
      <w:marLeft w:val="0"/>
      <w:marRight w:val="0"/>
      <w:marTop w:val="0"/>
      <w:marBottom w:val="0"/>
      <w:divBdr>
        <w:top w:val="none" w:sz="0" w:space="0" w:color="auto"/>
        <w:left w:val="none" w:sz="0" w:space="0" w:color="auto"/>
        <w:bottom w:val="none" w:sz="0" w:space="0" w:color="auto"/>
        <w:right w:val="none" w:sz="0" w:space="0" w:color="auto"/>
      </w:divBdr>
    </w:div>
    <w:div w:id="886260220">
      <w:bodyDiv w:val="1"/>
      <w:marLeft w:val="0"/>
      <w:marRight w:val="0"/>
      <w:marTop w:val="0"/>
      <w:marBottom w:val="0"/>
      <w:divBdr>
        <w:top w:val="none" w:sz="0" w:space="0" w:color="auto"/>
        <w:left w:val="none" w:sz="0" w:space="0" w:color="auto"/>
        <w:bottom w:val="none" w:sz="0" w:space="0" w:color="auto"/>
        <w:right w:val="none" w:sz="0" w:space="0" w:color="auto"/>
      </w:divBdr>
      <w:divsChild>
        <w:div w:id="1309936463">
          <w:marLeft w:val="0"/>
          <w:marRight w:val="0"/>
          <w:marTop w:val="0"/>
          <w:marBottom w:val="0"/>
          <w:divBdr>
            <w:top w:val="none" w:sz="0" w:space="0" w:color="auto"/>
            <w:left w:val="none" w:sz="0" w:space="0" w:color="auto"/>
            <w:bottom w:val="none" w:sz="0" w:space="0" w:color="auto"/>
            <w:right w:val="none" w:sz="0" w:space="0" w:color="auto"/>
          </w:divBdr>
          <w:divsChild>
            <w:div w:id="186986721">
              <w:marLeft w:val="0"/>
              <w:marRight w:val="0"/>
              <w:marTop w:val="0"/>
              <w:marBottom w:val="0"/>
              <w:divBdr>
                <w:top w:val="none" w:sz="0" w:space="0" w:color="auto"/>
                <w:left w:val="none" w:sz="0" w:space="0" w:color="auto"/>
                <w:bottom w:val="none" w:sz="0" w:space="0" w:color="auto"/>
                <w:right w:val="none" w:sz="0" w:space="0" w:color="auto"/>
              </w:divBdr>
            </w:div>
          </w:divsChild>
        </w:div>
        <w:div w:id="1170371031">
          <w:marLeft w:val="0"/>
          <w:marRight w:val="0"/>
          <w:marTop w:val="0"/>
          <w:marBottom w:val="0"/>
          <w:divBdr>
            <w:top w:val="none" w:sz="0" w:space="0" w:color="auto"/>
            <w:left w:val="none" w:sz="0" w:space="0" w:color="auto"/>
            <w:bottom w:val="none" w:sz="0" w:space="0" w:color="auto"/>
            <w:right w:val="none" w:sz="0" w:space="0" w:color="auto"/>
          </w:divBdr>
          <w:divsChild>
            <w:div w:id="166487406">
              <w:marLeft w:val="0"/>
              <w:marRight w:val="0"/>
              <w:marTop w:val="0"/>
              <w:marBottom w:val="0"/>
              <w:divBdr>
                <w:top w:val="none" w:sz="0" w:space="0" w:color="auto"/>
                <w:left w:val="none" w:sz="0" w:space="0" w:color="auto"/>
                <w:bottom w:val="none" w:sz="0" w:space="0" w:color="auto"/>
                <w:right w:val="none" w:sz="0" w:space="0" w:color="auto"/>
              </w:divBdr>
              <w:divsChild>
                <w:div w:id="952252971">
                  <w:marLeft w:val="0"/>
                  <w:marRight w:val="0"/>
                  <w:marTop w:val="0"/>
                  <w:marBottom w:val="0"/>
                  <w:divBdr>
                    <w:top w:val="none" w:sz="0" w:space="0" w:color="auto"/>
                    <w:left w:val="none" w:sz="0" w:space="0" w:color="auto"/>
                    <w:bottom w:val="none" w:sz="0" w:space="0" w:color="auto"/>
                    <w:right w:val="none" w:sz="0" w:space="0" w:color="auto"/>
                  </w:divBdr>
                  <w:divsChild>
                    <w:div w:id="1322393880">
                      <w:marLeft w:val="0"/>
                      <w:marRight w:val="0"/>
                      <w:marTop w:val="0"/>
                      <w:marBottom w:val="0"/>
                      <w:divBdr>
                        <w:top w:val="none" w:sz="0" w:space="0" w:color="auto"/>
                        <w:left w:val="none" w:sz="0" w:space="0" w:color="auto"/>
                        <w:bottom w:val="none" w:sz="0" w:space="0" w:color="auto"/>
                        <w:right w:val="none" w:sz="0" w:space="0" w:color="auto"/>
                      </w:divBdr>
                      <w:divsChild>
                        <w:div w:id="1550654698">
                          <w:marLeft w:val="0"/>
                          <w:marRight w:val="0"/>
                          <w:marTop w:val="0"/>
                          <w:marBottom w:val="0"/>
                          <w:divBdr>
                            <w:top w:val="none" w:sz="0" w:space="0" w:color="auto"/>
                            <w:left w:val="none" w:sz="0" w:space="0" w:color="auto"/>
                            <w:bottom w:val="none" w:sz="0" w:space="0" w:color="auto"/>
                            <w:right w:val="none" w:sz="0" w:space="0" w:color="auto"/>
                          </w:divBdr>
                          <w:divsChild>
                            <w:div w:id="1759713361">
                              <w:marLeft w:val="0"/>
                              <w:marRight w:val="0"/>
                              <w:marTop w:val="0"/>
                              <w:marBottom w:val="0"/>
                              <w:divBdr>
                                <w:top w:val="none" w:sz="0" w:space="0" w:color="auto"/>
                                <w:left w:val="none" w:sz="0" w:space="0" w:color="auto"/>
                                <w:bottom w:val="none" w:sz="0" w:space="0" w:color="auto"/>
                                <w:right w:val="none" w:sz="0" w:space="0" w:color="auto"/>
                              </w:divBdr>
                              <w:divsChild>
                                <w:div w:id="796990362">
                                  <w:marLeft w:val="0"/>
                                  <w:marRight w:val="0"/>
                                  <w:marTop w:val="0"/>
                                  <w:marBottom w:val="0"/>
                                  <w:divBdr>
                                    <w:top w:val="none" w:sz="0" w:space="0" w:color="auto"/>
                                    <w:left w:val="none" w:sz="0" w:space="0" w:color="auto"/>
                                    <w:bottom w:val="none" w:sz="0" w:space="0" w:color="auto"/>
                                    <w:right w:val="none" w:sz="0" w:space="0" w:color="auto"/>
                                  </w:divBdr>
                                  <w:divsChild>
                                    <w:div w:id="523633886">
                                      <w:marLeft w:val="0"/>
                                      <w:marRight w:val="0"/>
                                      <w:marTop w:val="0"/>
                                      <w:marBottom w:val="0"/>
                                      <w:divBdr>
                                        <w:top w:val="none" w:sz="0" w:space="0" w:color="auto"/>
                                        <w:left w:val="none" w:sz="0" w:space="0" w:color="auto"/>
                                        <w:bottom w:val="none" w:sz="0" w:space="0" w:color="auto"/>
                                        <w:right w:val="none" w:sz="0" w:space="0" w:color="auto"/>
                                      </w:divBdr>
                                      <w:divsChild>
                                        <w:div w:id="1322729958">
                                          <w:marLeft w:val="0"/>
                                          <w:marRight w:val="0"/>
                                          <w:marTop w:val="0"/>
                                          <w:marBottom w:val="0"/>
                                          <w:divBdr>
                                            <w:top w:val="none" w:sz="0" w:space="0" w:color="auto"/>
                                            <w:left w:val="none" w:sz="0" w:space="0" w:color="auto"/>
                                            <w:bottom w:val="none" w:sz="0" w:space="0" w:color="auto"/>
                                            <w:right w:val="none" w:sz="0" w:space="0" w:color="auto"/>
                                          </w:divBdr>
                                          <w:divsChild>
                                            <w:div w:id="177500737">
                                              <w:marLeft w:val="0"/>
                                              <w:marRight w:val="0"/>
                                              <w:marTop w:val="0"/>
                                              <w:marBottom w:val="0"/>
                                              <w:divBdr>
                                                <w:top w:val="none" w:sz="0" w:space="0" w:color="auto"/>
                                                <w:left w:val="none" w:sz="0" w:space="0" w:color="auto"/>
                                                <w:bottom w:val="none" w:sz="0" w:space="0" w:color="auto"/>
                                                <w:right w:val="none" w:sz="0" w:space="0" w:color="auto"/>
                                              </w:divBdr>
                                              <w:divsChild>
                                                <w:div w:id="88281940">
                                                  <w:marLeft w:val="0"/>
                                                  <w:marRight w:val="0"/>
                                                  <w:marTop w:val="0"/>
                                                  <w:marBottom w:val="0"/>
                                                  <w:divBdr>
                                                    <w:top w:val="none" w:sz="0" w:space="0" w:color="auto"/>
                                                    <w:left w:val="none" w:sz="0" w:space="0" w:color="auto"/>
                                                    <w:bottom w:val="none" w:sz="0" w:space="0" w:color="auto"/>
                                                    <w:right w:val="none" w:sz="0" w:space="0" w:color="auto"/>
                                                  </w:divBdr>
                                                  <w:divsChild>
                                                    <w:div w:id="14231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6144095">
          <w:marLeft w:val="0"/>
          <w:marRight w:val="0"/>
          <w:marTop w:val="0"/>
          <w:marBottom w:val="0"/>
          <w:divBdr>
            <w:top w:val="none" w:sz="0" w:space="0" w:color="auto"/>
            <w:left w:val="none" w:sz="0" w:space="0" w:color="auto"/>
            <w:bottom w:val="none" w:sz="0" w:space="0" w:color="auto"/>
            <w:right w:val="none" w:sz="0" w:space="0" w:color="auto"/>
          </w:divBdr>
          <w:divsChild>
            <w:div w:id="1980259582">
              <w:marLeft w:val="0"/>
              <w:marRight w:val="0"/>
              <w:marTop w:val="0"/>
              <w:marBottom w:val="0"/>
              <w:divBdr>
                <w:top w:val="none" w:sz="0" w:space="0" w:color="auto"/>
                <w:left w:val="none" w:sz="0" w:space="0" w:color="auto"/>
                <w:bottom w:val="none" w:sz="0" w:space="0" w:color="auto"/>
                <w:right w:val="none" w:sz="0" w:space="0" w:color="auto"/>
              </w:divBdr>
              <w:divsChild>
                <w:div w:id="19855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8278">
          <w:marLeft w:val="0"/>
          <w:marRight w:val="0"/>
          <w:marTop w:val="0"/>
          <w:marBottom w:val="0"/>
          <w:divBdr>
            <w:top w:val="none" w:sz="0" w:space="0" w:color="auto"/>
            <w:left w:val="none" w:sz="0" w:space="0" w:color="auto"/>
            <w:bottom w:val="none" w:sz="0" w:space="0" w:color="auto"/>
            <w:right w:val="none" w:sz="0" w:space="0" w:color="auto"/>
          </w:divBdr>
          <w:divsChild>
            <w:div w:id="1251353974">
              <w:marLeft w:val="0"/>
              <w:marRight w:val="0"/>
              <w:marTop w:val="0"/>
              <w:marBottom w:val="0"/>
              <w:divBdr>
                <w:top w:val="none" w:sz="0" w:space="0" w:color="auto"/>
                <w:left w:val="none" w:sz="0" w:space="0" w:color="auto"/>
                <w:bottom w:val="none" w:sz="0" w:space="0" w:color="auto"/>
                <w:right w:val="none" w:sz="0" w:space="0" w:color="auto"/>
              </w:divBdr>
              <w:divsChild>
                <w:div w:id="3179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00732">
          <w:marLeft w:val="0"/>
          <w:marRight w:val="0"/>
          <w:marTop w:val="0"/>
          <w:marBottom w:val="0"/>
          <w:divBdr>
            <w:top w:val="none" w:sz="0" w:space="0" w:color="auto"/>
            <w:left w:val="none" w:sz="0" w:space="0" w:color="auto"/>
            <w:bottom w:val="none" w:sz="0" w:space="0" w:color="auto"/>
            <w:right w:val="none" w:sz="0" w:space="0" w:color="auto"/>
          </w:divBdr>
          <w:divsChild>
            <w:div w:id="835191146">
              <w:marLeft w:val="0"/>
              <w:marRight w:val="0"/>
              <w:marTop w:val="0"/>
              <w:marBottom w:val="0"/>
              <w:divBdr>
                <w:top w:val="none" w:sz="0" w:space="0" w:color="auto"/>
                <w:left w:val="none" w:sz="0" w:space="0" w:color="auto"/>
                <w:bottom w:val="none" w:sz="0" w:space="0" w:color="auto"/>
                <w:right w:val="none" w:sz="0" w:space="0" w:color="auto"/>
              </w:divBdr>
              <w:divsChild>
                <w:div w:id="7645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88896">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
    <w:div w:id="1310787824">
      <w:bodyDiv w:val="1"/>
      <w:marLeft w:val="0"/>
      <w:marRight w:val="0"/>
      <w:marTop w:val="0"/>
      <w:marBottom w:val="0"/>
      <w:divBdr>
        <w:top w:val="none" w:sz="0" w:space="0" w:color="auto"/>
        <w:left w:val="none" w:sz="0" w:space="0" w:color="auto"/>
        <w:bottom w:val="none" w:sz="0" w:space="0" w:color="auto"/>
        <w:right w:val="none" w:sz="0" w:space="0" w:color="auto"/>
      </w:divBdr>
      <w:divsChild>
        <w:div w:id="516505570">
          <w:marLeft w:val="0"/>
          <w:marRight w:val="0"/>
          <w:marTop w:val="0"/>
          <w:marBottom w:val="0"/>
          <w:divBdr>
            <w:top w:val="none" w:sz="0" w:space="0" w:color="auto"/>
            <w:left w:val="none" w:sz="0" w:space="0" w:color="auto"/>
            <w:bottom w:val="none" w:sz="0" w:space="0" w:color="auto"/>
            <w:right w:val="none" w:sz="0" w:space="0" w:color="auto"/>
          </w:divBdr>
          <w:divsChild>
            <w:div w:id="1775322908">
              <w:marLeft w:val="0"/>
              <w:marRight w:val="0"/>
              <w:marTop w:val="0"/>
              <w:marBottom w:val="0"/>
              <w:divBdr>
                <w:top w:val="none" w:sz="0" w:space="0" w:color="auto"/>
                <w:left w:val="none" w:sz="0" w:space="0" w:color="auto"/>
                <w:bottom w:val="none" w:sz="0" w:space="0" w:color="auto"/>
                <w:right w:val="none" w:sz="0" w:space="0" w:color="auto"/>
              </w:divBdr>
              <w:divsChild>
                <w:div w:id="356084356">
                  <w:marLeft w:val="0"/>
                  <w:marRight w:val="0"/>
                  <w:marTop w:val="0"/>
                  <w:marBottom w:val="0"/>
                  <w:divBdr>
                    <w:top w:val="none" w:sz="0" w:space="0" w:color="auto"/>
                    <w:left w:val="none" w:sz="0" w:space="0" w:color="auto"/>
                    <w:bottom w:val="none" w:sz="0" w:space="0" w:color="auto"/>
                    <w:right w:val="none" w:sz="0" w:space="0" w:color="auto"/>
                  </w:divBdr>
                  <w:divsChild>
                    <w:div w:id="1051688029">
                      <w:marLeft w:val="0"/>
                      <w:marRight w:val="0"/>
                      <w:marTop w:val="0"/>
                      <w:marBottom w:val="0"/>
                      <w:divBdr>
                        <w:top w:val="none" w:sz="0" w:space="0" w:color="auto"/>
                        <w:left w:val="none" w:sz="0" w:space="0" w:color="auto"/>
                        <w:bottom w:val="none" w:sz="0" w:space="0" w:color="auto"/>
                        <w:right w:val="none" w:sz="0" w:space="0" w:color="auto"/>
                      </w:divBdr>
                      <w:divsChild>
                        <w:div w:id="878786949">
                          <w:marLeft w:val="0"/>
                          <w:marRight w:val="0"/>
                          <w:marTop w:val="0"/>
                          <w:marBottom w:val="0"/>
                          <w:divBdr>
                            <w:top w:val="none" w:sz="0" w:space="0" w:color="auto"/>
                            <w:left w:val="none" w:sz="0" w:space="0" w:color="auto"/>
                            <w:bottom w:val="none" w:sz="0" w:space="0" w:color="auto"/>
                            <w:right w:val="none" w:sz="0" w:space="0" w:color="auto"/>
                          </w:divBdr>
                        </w:div>
                      </w:divsChild>
                    </w:div>
                    <w:div w:id="2051176453">
                      <w:marLeft w:val="0"/>
                      <w:marRight w:val="0"/>
                      <w:marTop w:val="0"/>
                      <w:marBottom w:val="0"/>
                      <w:divBdr>
                        <w:top w:val="none" w:sz="0" w:space="0" w:color="auto"/>
                        <w:left w:val="none" w:sz="0" w:space="0" w:color="auto"/>
                        <w:bottom w:val="none" w:sz="0" w:space="0" w:color="auto"/>
                        <w:right w:val="none" w:sz="0" w:space="0" w:color="auto"/>
                      </w:divBdr>
                      <w:divsChild>
                        <w:div w:id="1386756677">
                          <w:marLeft w:val="0"/>
                          <w:marRight w:val="0"/>
                          <w:marTop w:val="0"/>
                          <w:marBottom w:val="0"/>
                          <w:divBdr>
                            <w:top w:val="none" w:sz="0" w:space="0" w:color="auto"/>
                            <w:left w:val="none" w:sz="0" w:space="0" w:color="auto"/>
                            <w:bottom w:val="none" w:sz="0" w:space="0" w:color="auto"/>
                            <w:right w:val="none" w:sz="0" w:space="0" w:color="auto"/>
                          </w:divBdr>
                          <w:divsChild>
                            <w:div w:id="706640920">
                              <w:marLeft w:val="0"/>
                              <w:marRight w:val="0"/>
                              <w:marTop w:val="0"/>
                              <w:marBottom w:val="0"/>
                              <w:divBdr>
                                <w:top w:val="none" w:sz="0" w:space="0" w:color="auto"/>
                                <w:left w:val="none" w:sz="0" w:space="0" w:color="auto"/>
                                <w:bottom w:val="none" w:sz="0" w:space="0" w:color="auto"/>
                                <w:right w:val="none" w:sz="0" w:space="0" w:color="auto"/>
                              </w:divBdr>
                              <w:divsChild>
                                <w:div w:id="1923445319">
                                  <w:marLeft w:val="0"/>
                                  <w:marRight w:val="0"/>
                                  <w:marTop w:val="0"/>
                                  <w:marBottom w:val="0"/>
                                  <w:divBdr>
                                    <w:top w:val="none" w:sz="0" w:space="0" w:color="auto"/>
                                    <w:left w:val="none" w:sz="0" w:space="0" w:color="auto"/>
                                    <w:bottom w:val="none" w:sz="0" w:space="0" w:color="auto"/>
                                    <w:right w:val="none" w:sz="0" w:space="0" w:color="auto"/>
                                  </w:divBdr>
                                  <w:divsChild>
                                    <w:div w:id="143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390675">
      <w:bodyDiv w:val="1"/>
      <w:marLeft w:val="0"/>
      <w:marRight w:val="0"/>
      <w:marTop w:val="0"/>
      <w:marBottom w:val="0"/>
      <w:divBdr>
        <w:top w:val="none" w:sz="0" w:space="0" w:color="auto"/>
        <w:left w:val="none" w:sz="0" w:space="0" w:color="auto"/>
        <w:bottom w:val="none" w:sz="0" w:space="0" w:color="auto"/>
        <w:right w:val="none" w:sz="0" w:space="0" w:color="auto"/>
      </w:divBdr>
    </w:div>
    <w:div w:id="1569419505">
      <w:bodyDiv w:val="1"/>
      <w:marLeft w:val="0"/>
      <w:marRight w:val="0"/>
      <w:marTop w:val="0"/>
      <w:marBottom w:val="0"/>
      <w:divBdr>
        <w:top w:val="none" w:sz="0" w:space="0" w:color="auto"/>
        <w:left w:val="none" w:sz="0" w:space="0" w:color="auto"/>
        <w:bottom w:val="none" w:sz="0" w:space="0" w:color="auto"/>
        <w:right w:val="none" w:sz="0" w:space="0" w:color="auto"/>
      </w:divBdr>
    </w:div>
    <w:div w:id="2006856178">
      <w:bodyDiv w:val="1"/>
      <w:marLeft w:val="0"/>
      <w:marRight w:val="0"/>
      <w:marTop w:val="0"/>
      <w:marBottom w:val="0"/>
      <w:divBdr>
        <w:top w:val="none" w:sz="0" w:space="0" w:color="auto"/>
        <w:left w:val="none" w:sz="0" w:space="0" w:color="auto"/>
        <w:bottom w:val="none" w:sz="0" w:space="0" w:color="auto"/>
        <w:right w:val="none" w:sz="0" w:space="0" w:color="auto"/>
      </w:divBdr>
    </w:div>
    <w:div w:id="210923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6135A-16F8-4E17-B8AB-10A4DC9BE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4782</Words>
  <Characters>26302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Solano</dc:creator>
  <cp:keywords/>
  <dc:description/>
  <cp:lastModifiedBy>Laura González</cp:lastModifiedBy>
  <cp:revision>3</cp:revision>
  <cp:lastPrinted>2025-12-25T21:59:00Z</cp:lastPrinted>
  <dcterms:created xsi:type="dcterms:W3CDTF">2025-12-27T19:59:00Z</dcterms:created>
  <dcterms:modified xsi:type="dcterms:W3CDTF">2025-12-29T03:38:00Z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8420f023-a762-4d52-993c-a75067b9db32</vt:lpwstr>
  </property>
</Properties>
</file>