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1D4F7" w14:textId="038E82B4" w:rsidR="00F31D4B" w:rsidRDefault="00F31D4B">
      <w:r>
        <w:t>VOTACION</w:t>
      </w:r>
    </w:p>
    <w:p w14:paraId="1E6A6499" w14:textId="1B92468F" w:rsidR="00F31D4B" w:rsidRPr="009E5C0C" w:rsidRDefault="00F31D4B" w:rsidP="009E5C0C">
      <w:pPr>
        <w:jc w:val="both"/>
        <w:rPr>
          <w:sz w:val="28"/>
          <w:szCs w:val="28"/>
        </w:rPr>
      </w:pPr>
      <w:r w:rsidRPr="009E5C0C">
        <w:rPr>
          <w:sz w:val="28"/>
          <w:szCs w:val="28"/>
        </w:rPr>
        <w:t>El proyecto de Ordenanza que Regula la Formac</w:t>
      </w:r>
      <w:r w:rsidR="00F20591">
        <w:rPr>
          <w:sz w:val="28"/>
          <w:szCs w:val="28"/>
        </w:rPr>
        <w:t>i</w:t>
      </w:r>
      <w:r w:rsidRPr="009E5C0C">
        <w:rPr>
          <w:sz w:val="28"/>
          <w:szCs w:val="28"/>
        </w:rPr>
        <w:t xml:space="preserve">ón de los Catastros Prediales Urbanos y Rurales, y la Determinación, Administración y Recaudación del Impuesto Predial para el Bienio 2026–2027, </w:t>
      </w:r>
    </w:p>
    <w:p w14:paraId="4B1D884B" w14:textId="5987F522" w:rsidR="00F31D4B" w:rsidRPr="009E5C0C" w:rsidRDefault="00F31D4B" w:rsidP="009E5C0C">
      <w:pPr>
        <w:jc w:val="both"/>
        <w:rPr>
          <w:sz w:val="28"/>
          <w:szCs w:val="28"/>
        </w:rPr>
      </w:pPr>
      <w:r w:rsidRPr="009E5C0C">
        <w:rPr>
          <w:sz w:val="28"/>
          <w:szCs w:val="28"/>
        </w:rPr>
        <w:t>Se encuentra enmarcada a la siguiente motivación El artículo 264 numeral 9 de la Constitución y los artículos 55 literal i), 57, 139 y 494 del COOTAD otorgan a los gobiernos municipales la competencia exclusiva para formar, administrar y actualizar los catastros, así como para regular la aplicación del impuesto predial cada dos años. Este proyecto se enmarca plenamente en dichas atribuciones.</w:t>
      </w:r>
    </w:p>
    <w:p w14:paraId="4702787E" w14:textId="2A6D890D" w:rsidR="00F31D4B" w:rsidRPr="009E5C0C" w:rsidRDefault="00F31D4B" w:rsidP="009E5C0C">
      <w:pPr>
        <w:jc w:val="both"/>
        <w:rPr>
          <w:sz w:val="28"/>
          <w:szCs w:val="28"/>
        </w:rPr>
      </w:pPr>
      <w:r w:rsidRPr="009E5C0C">
        <w:rPr>
          <w:sz w:val="28"/>
          <w:szCs w:val="28"/>
        </w:rPr>
        <w:t xml:space="preserve">De acuerdo con el artículo 322 del COOTAD y el artículo </w:t>
      </w:r>
      <w:r w:rsidR="005D40FD">
        <w:rPr>
          <w:sz w:val="28"/>
          <w:szCs w:val="28"/>
        </w:rPr>
        <w:t>3</w:t>
      </w:r>
      <w:r w:rsidRPr="009E5C0C">
        <w:rPr>
          <w:sz w:val="28"/>
          <w:szCs w:val="28"/>
        </w:rPr>
        <w:t>2 de la Ordenanza de Organización y Funcionamiento del Concejo, el proyecto cuenta con:</w:t>
      </w:r>
    </w:p>
    <w:p w14:paraId="44D54C0B" w14:textId="2329B0BC" w:rsidR="00F31D4B" w:rsidRPr="009E5C0C" w:rsidRDefault="00F31D4B" w:rsidP="009E5C0C">
      <w:pPr>
        <w:jc w:val="both"/>
        <w:rPr>
          <w:sz w:val="28"/>
          <w:szCs w:val="28"/>
        </w:rPr>
      </w:pPr>
      <w:r w:rsidRPr="009E5C0C">
        <w:rPr>
          <w:sz w:val="28"/>
          <w:szCs w:val="28"/>
        </w:rPr>
        <w:t>•</w:t>
      </w:r>
      <w:r w:rsidRPr="009E5C0C">
        <w:rPr>
          <w:sz w:val="28"/>
          <w:szCs w:val="28"/>
        </w:rPr>
        <w:tab/>
      </w:r>
      <w:r w:rsidR="00F20591">
        <w:rPr>
          <w:sz w:val="28"/>
          <w:szCs w:val="28"/>
        </w:rPr>
        <w:t>I</w:t>
      </w:r>
      <w:r w:rsidRPr="009E5C0C">
        <w:rPr>
          <w:sz w:val="28"/>
          <w:szCs w:val="28"/>
        </w:rPr>
        <w:t xml:space="preserve">nforme </w:t>
      </w:r>
      <w:r w:rsidR="00F20591">
        <w:rPr>
          <w:sz w:val="28"/>
          <w:szCs w:val="28"/>
        </w:rPr>
        <w:t>T</w:t>
      </w:r>
      <w:r w:rsidRPr="009E5C0C">
        <w:rPr>
          <w:sz w:val="28"/>
          <w:szCs w:val="28"/>
        </w:rPr>
        <w:t>écnico de la Dirección de Planificación,</w:t>
      </w:r>
    </w:p>
    <w:p w14:paraId="45D32CC5" w14:textId="5EDBD870" w:rsidR="00F31D4B" w:rsidRPr="009E5C0C" w:rsidRDefault="00F31D4B" w:rsidP="009E5C0C">
      <w:pPr>
        <w:jc w:val="both"/>
        <w:rPr>
          <w:sz w:val="28"/>
          <w:szCs w:val="28"/>
        </w:rPr>
      </w:pPr>
      <w:r w:rsidRPr="009E5C0C">
        <w:rPr>
          <w:sz w:val="28"/>
          <w:szCs w:val="28"/>
        </w:rPr>
        <w:t>•</w:t>
      </w:r>
      <w:r w:rsidRPr="009E5C0C">
        <w:rPr>
          <w:sz w:val="28"/>
          <w:szCs w:val="28"/>
        </w:rPr>
        <w:tab/>
      </w:r>
      <w:r w:rsidR="00F20591">
        <w:rPr>
          <w:sz w:val="28"/>
          <w:szCs w:val="28"/>
        </w:rPr>
        <w:t>I</w:t>
      </w:r>
      <w:r w:rsidRPr="009E5C0C">
        <w:rPr>
          <w:sz w:val="28"/>
          <w:szCs w:val="28"/>
        </w:rPr>
        <w:t xml:space="preserve">nforme </w:t>
      </w:r>
      <w:r w:rsidR="00F20591">
        <w:rPr>
          <w:sz w:val="28"/>
          <w:szCs w:val="28"/>
        </w:rPr>
        <w:t>F</w:t>
      </w:r>
      <w:r w:rsidRPr="009E5C0C">
        <w:rPr>
          <w:sz w:val="28"/>
          <w:szCs w:val="28"/>
        </w:rPr>
        <w:t>avorable de la Comisión de Planificación y Presupuesto,</w:t>
      </w:r>
    </w:p>
    <w:p w14:paraId="50F5E130" w14:textId="5573916A" w:rsidR="00F31D4B" w:rsidRPr="009E5C0C" w:rsidRDefault="00F31D4B" w:rsidP="009E5C0C">
      <w:pPr>
        <w:jc w:val="both"/>
        <w:rPr>
          <w:sz w:val="28"/>
          <w:szCs w:val="28"/>
        </w:rPr>
      </w:pPr>
      <w:r w:rsidRPr="009E5C0C">
        <w:rPr>
          <w:sz w:val="28"/>
          <w:szCs w:val="28"/>
        </w:rPr>
        <w:t>•</w:t>
      </w:r>
      <w:r w:rsidRPr="009E5C0C">
        <w:rPr>
          <w:sz w:val="28"/>
          <w:szCs w:val="28"/>
        </w:rPr>
        <w:tab/>
      </w:r>
      <w:r w:rsidR="00F20591">
        <w:rPr>
          <w:sz w:val="28"/>
          <w:szCs w:val="28"/>
        </w:rPr>
        <w:t>C</w:t>
      </w:r>
      <w:r w:rsidRPr="009E5C0C">
        <w:rPr>
          <w:sz w:val="28"/>
          <w:szCs w:val="28"/>
        </w:rPr>
        <w:t xml:space="preserve">riterio </w:t>
      </w:r>
      <w:r w:rsidR="00F20591">
        <w:rPr>
          <w:sz w:val="28"/>
          <w:szCs w:val="28"/>
        </w:rPr>
        <w:t>J</w:t>
      </w:r>
      <w:r w:rsidRPr="009E5C0C">
        <w:rPr>
          <w:sz w:val="28"/>
          <w:szCs w:val="28"/>
        </w:rPr>
        <w:t>urídico emitido por la Procuraduría Síndica, que valida la legalidad y viabilidad del proyecto, con lo cual se reúnen los requisitos para su tratamiento y aprobación.</w:t>
      </w:r>
    </w:p>
    <w:p w14:paraId="619F43CD" w14:textId="10E07394" w:rsidR="00F31D4B" w:rsidRPr="009E5C0C" w:rsidRDefault="00F31D4B" w:rsidP="009E5C0C">
      <w:pPr>
        <w:jc w:val="both"/>
        <w:rPr>
          <w:sz w:val="28"/>
          <w:szCs w:val="28"/>
        </w:rPr>
      </w:pPr>
      <w:r w:rsidRPr="009E5C0C">
        <w:rPr>
          <w:sz w:val="28"/>
          <w:szCs w:val="28"/>
        </w:rPr>
        <w:t>Los artículos 504 y 517 del COOTAD establecen las bandas impositivas mínimas y máximas para predios urbanos y rurales. El proyecto fija las tarifas dentro de los rangos permitidos, respetando los principios constitucionales del régimen tributario: legalidad, generalidad, progresividad, equidad y suficiencia recaudatoria (art. 300 de la Constitución).</w:t>
      </w:r>
    </w:p>
    <w:p w14:paraId="35F8F2FA" w14:textId="77777777" w:rsidR="00F31D4B" w:rsidRPr="009E5C0C" w:rsidRDefault="00F31D4B" w:rsidP="009E5C0C">
      <w:pPr>
        <w:jc w:val="both"/>
        <w:rPr>
          <w:sz w:val="28"/>
          <w:szCs w:val="28"/>
        </w:rPr>
      </w:pPr>
      <w:r w:rsidRPr="009E5C0C">
        <w:rPr>
          <w:sz w:val="28"/>
          <w:szCs w:val="28"/>
        </w:rPr>
        <w:t>La ley obliga a todos los municipios a actualizar el catastro y la valoración de la propiedad cada dos años, condición indispensable para la correcta determinación del impuesto predial y para garantizar seguridad jurídica, transparencia y eficiencia tributaria.</w:t>
      </w:r>
    </w:p>
    <w:p w14:paraId="5C6C38A6" w14:textId="589C81AD" w:rsidR="00F31D4B" w:rsidRPr="009E5C0C" w:rsidRDefault="00F31D4B" w:rsidP="009E5C0C">
      <w:pPr>
        <w:jc w:val="both"/>
        <w:rPr>
          <w:sz w:val="28"/>
          <w:szCs w:val="28"/>
        </w:rPr>
      </w:pPr>
      <w:r w:rsidRPr="009E5C0C">
        <w:rPr>
          <w:sz w:val="28"/>
          <w:szCs w:val="28"/>
        </w:rPr>
        <w:t xml:space="preserve">En consecuencia, y considerando que la propuesta normativa se ajusta plenamente a la Constitución, al COOTAD y al </w:t>
      </w:r>
      <w:r w:rsidR="00160955">
        <w:rPr>
          <w:sz w:val="28"/>
          <w:szCs w:val="28"/>
        </w:rPr>
        <w:t>R</w:t>
      </w:r>
      <w:r w:rsidRPr="009E5C0C">
        <w:rPr>
          <w:sz w:val="28"/>
          <w:szCs w:val="28"/>
        </w:rPr>
        <w:t xml:space="preserve">égimen </w:t>
      </w:r>
      <w:r w:rsidR="00160955">
        <w:rPr>
          <w:sz w:val="28"/>
          <w:szCs w:val="28"/>
        </w:rPr>
        <w:t>T</w:t>
      </w:r>
      <w:r w:rsidRPr="009E5C0C">
        <w:rPr>
          <w:sz w:val="28"/>
          <w:szCs w:val="28"/>
        </w:rPr>
        <w:t xml:space="preserve">ributario </w:t>
      </w:r>
      <w:r w:rsidR="00160955">
        <w:rPr>
          <w:sz w:val="28"/>
          <w:szCs w:val="28"/>
        </w:rPr>
        <w:t>N</w:t>
      </w:r>
      <w:r w:rsidRPr="009E5C0C">
        <w:rPr>
          <w:sz w:val="28"/>
          <w:szCs w:val="28"/>
        </w:rPr>
        <w:t>acional, emito mi voto favorable, por ser una decisión jurídicamente procedente.</w:t>
      </w:r>
    </w:p>
    <w:sectPr w:rsidR="00F31D4B" w:rsidRPr="009E5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4B"/>
    <w:rsid w:val="000808E8"/>
    <w:rsid w:val="00151C9E"/>
    <w:rsid w:val="00160955"/>
    <w:rsid w:val="003C355D"/>
    <w:rsid w:val="005D40FD"/>
    <w:rsid w:val="009C0BC5"/>
    <w:rsid w:val="009E5C0C"/>
    <w:rsid w:val="00A94DC7"/>
    <w:rsid w:val="00DB6540"/>
    <w:rsid w:val="00F20591"/>
    <w:rsid w:val="00F3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63579"/>
  <w15:chartTrackingRefBased/>
  <w15:docId w15:val="{857C1707-2397-4264-97F7-8DF777D1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1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1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1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1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1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1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1D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1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1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1D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3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1D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6</cp:revision>
  <dcterms:created xsi:type="dcterms:W3CDTF">2025-12-02T14:10:00Z</dcterms:created>
  <dcterms:modified xsi:type="dcterms:W3CDTF">2025-12-02T15:29:00Z</dcterms:modified>
</cp:coreProperties>
</file>