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3332" w14:textId="4907C763" w:rsidR="009C0BC5" w:rsidRPr="00C4769A" w:rsidRDefault="00C4769A" w:rsidP="00C4769A">
      <w:pPr>
        <w:jc w:val="both"/>
        <w:rPr>
          <w:sz w:val="36"/>
          <w:szCs w:val="36"/>
        </w:rPr>
      </w:pPr>
      <w:r w:rsidRPr="00C4769A">
        <w:rPr>
          <w:sz w:val="36"/>
          <w:szCs w:val="36"/>
        </w:rPr>
        <w:t xml:space="preserve">VOTACION </w:t>
      </w:r>
      <w:r w:rsidR="00765D18">
        <w:rPr>
          <w:sz w:val="36"/>
          <w:szCs w:val="36"/>
        </w:rPr>
        <w:t xml:space="preserve"> </w:t>
      </w:r>
    </w:p>
    <w:p w14:paraId="7435EFF2" w14:textId="43F48F9C" w:rsidR="00C205D0" w:rsidRPr="001301AF" w:rsidRDefault="00103220" w:rsidP="001301AF">
      <w:pPr>
        <w:jc w:val="both"/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</w:rPr>
        <w:t xml:space="preserve">En </w:t>
      </w:r>
      <w:r>
        <w:rPr>
          <w:rFonts w:ascii="Times New Roman" w:hAnsi="Times New Roman" w:cs="Times New Roman"/>
          <w:sz w:val="28"/>
          <w:szCs w:val="28"/>
          <w:lang w:val="es-MX"/>
        </w:rPr>
        <w:t xml:space="preserve">referencia al </w:t>
      </w:r>
      <w:r w:rsidR="00C205D0" w:rsidRPr="001301AF">
        <w:rPr>
          <w:rFonts w:ascii="Times New Roman" w:hAnsi="Times New Roman" w:cs="Times New Roman"/>
          <w:sz w:val="28"/>
          <w:szCs w:val="28"/>
          <w:lang w:val="es-MX"/>
        </w:rPr>
        <w:t>proyecto normativo denominado “Segunda Reforma a</w:t>
      </w:r>
      <w:r w:rsidR="001301AF" w:rsidRPr="001301AF">
        <w:rPr>
          <w:rFonts w:ascii="Times New Roman" w:hAnsi="Times New Roman" w:cs="Times New Roman"/>
          <w:sz w:val="28"/>
          <w:szCs w:val="28"/>
          <w:lang w:val="es-MX"/>
        </w:rPr>
        <w:t xml:space="preserve"> </w:t>
      </w:r>
      <w:r w:rsidR="00C205D0" w:rsidRPr="001301AF">
        <w:rPr>
          <w:rFonts w:ascii="Times New Roman" w:hAnsi="Times New Roman" w:cs="Times New Roman"/>
          <w:sz w:val="28"/>
          <w:szCs w:val="28"/>
          <w:lang w:val="es-MX"/>
        </w:rPr>
        <w:t>la Ordenanza Sustitutiva de la Ordenanza para la Gestión Integral de Residuos Sólidos del Cantón Guaranda”.</w:t>
      </w:r>
    </w:p>
    <w:p w14:paraId="544312C5" w14:textId="183BEAE0" w:rsidR="00C205D0" w:rsidRPr="001301AF" w:rsidRDefault="00C205D0" w:rsidP="001301AF">
      <w:pPr>
        <w:jc w:val="both"/>
        <w:rPr>
          <w:rFonts w:ascii="Times New Roman" w:hAnsi="Times New Roman" w:cs="Times New Roman"/>
          <w:sz w:val="28"/>
          <w:szCs w:val="28"/>
          <w:lang w:val="es-MX"/>
        </w:rPr>
      </w:pPr>
    </w:p>
    <w:p w14:paraId="4B34AE6D" w14:textId="0583FA18" w:rsidR="00B83D98" w:rsidRPr="00B83D98" w:rsidRDefault="009A1676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S</w:t>
      </w:r>
      <w:proofErr w:type="spellStart"/>
      <w:r w:rsidR="00B83D98" w:rsidRPr="00B83D9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B83D98" w:rsidRPr="00B83D98">
        <w:rPr>
          <w:rFonts w:ascii="Times New Roman" w:hAnsi="Times New Roman" w:cs="Times New Roman"/>
          <w:sz w:val="28"/>
          <w:szCs w:val="28"/>
        </w:rPr>
        <w:t xml:space="preserve"> encuentra debidamente acreditado que el mecanismo de recaudación de la tasa de recolección de residuos sólidos a través de CNEL EP concluye el 31 de diciembre de 2025, lo que obliga al GAD Municipal a implementar un sistema propio y directo de cobro, a fin de garantizar la continuidad del servicio público de aseo .</w:t>
      </w:r>
    </w:p>
    <w:p w14:paraId="3F145879" w14:textId="4E027ED3" w:rsidR="00B83D98" w:rsidRPr="00B83D98" w:rsidRDefault="009A1676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</w:t>
      </w:r>
      <w:r w:rsidR="00B83D98" w:rsidRPr="00B83D98">
        <w:rPr>
          <w:rFonts w:ascii="Times New Roman" w:hAnsi="Times New Roman" w:cs="Times New Roman"/>
          <w:sz w:val="28"/>
          <w:szCs w:val="28"/>
        </w:rPr>
        <w:t xml:space="preserve"> servicio de gestión integral de residuos sólidos es un servicio público esencial, cuya interrupción afectaría derechos constitucionales relacionados con la salud pública y el ambiente sano, por lo que resulta jurídicamente necesario adoptar medidas normativas que aseguren su sostenibilidad.</w:t>
      </w:r>
    </w:p>
    <w:p w14:paraId="0A9301BC" w14:textId="34E095C3" w:rsidR="00B83D98" w:rsidRPr="00B83D98" w:rsidRDefault="009A1676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Este</w:t>
      </w:r>
      <w:r w:rsidR="00B83D98" w:rsidRPr="00B83D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Ordenanza</w:t>
      </w:r>
      <w:r w:rsidR="00B83D98" w:rsidRPr="00B83D98">
        <w:rPr>
          <w:rFonts w:ascii="Times New Roman" w:hAnsi="Times New Roman" w:cs="Times New Roman"/>
          <w:sz w:val="28"/>
          <w:szCs w:val="28"/>
        </w:rPr>
        <w:t xml:space="preserve"> cuenta con informe favorable de la Comisión de Servicios Públicos, criterio jurídico favorable de la Procuraduría Síndica y criterio técnico-financiero favorable de la Dirección Financiera, los cuales concluyen que la propuesta es competente, viable y conforme al procedimiento previsto en el artículo 322 del COOTAD .</w:t>
      </w:r>
    </w:p>
    <w:p w14:paraId="2B59312A" w14:textId="75FF6458" w:rsidR="00C4769A" w:rsidRPr="001301AF" w:rsidRDefault="00B83D98" w:rsidP="00B83D98">
      <w:pPr>
        <w:jc w:val="both"/>
        <w:rPr>
          <w:rFonts w:ascii="Times New Roman" w:hAnsi="Times New Roman" w:cs="Times New Roman"/>
          <w:sz w:val="28"/>
          <w:szCs w:val="28"/>
        </w:rPr>
      </w:pPr>
      <w:r w:rsidRPr="00B83D98">
        <w:rPr>
          <w:rFonts w:ascii="Times New Roman" w:hAnsi="Times New Roman" w:cs="Times New Roman"/>
          <w:sz w:val="28"/>
          <w:szCs w:val="28"/>
        </w:rPr>
        <w:t>En consecuencia, y considerando q</w:t>
      </w:r>
      <w:r w:rsidR="009A1676">
        <w:rPr>
          <w:rFonts w:ascii="Times New Roman" w:hAnsi="Times New Roman" w:cs="Times New Roman"/>
          <w:sz w:val="28"/>
          <w:szCs w:val="28"/>
        </w:rPr>
        <w:t>ue esta Ordenanza</w:t>
      </w:r>
      <w:r w:rsidRPr="00B83D98">
        <w:rPr>
          <w:rFonts w:ascii="Times New Roman" w:hAnsi="Times New Roman" w:cs="Times New Roman"/>
          <w:sz w:val="28"/>
          <w:szCs w:val="28"/>
        </w:rPr>
        <w:t xml:space="preserve">  responde a una necesidad institucional urgente, cumple con la normativa constitucional y legal vigente, y permite continuar con su análisis y perfeccionamiento en la siguiente etapa, mi voto es a favor</w:t>
      </w:r>
    </w:p>
    <w:sectPr w:rsidR="00C4769A" w:rsidRPr="00130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9A"/>
    <w:rsid w:val="00066FDE"/>
    <w:rsid w:val="00103220"/>
    <w:rsid w:val="001301AF"/>
    <w:rsid w:val="00347420"/>
    <w:rsid w:val="003C355D"/>
    <w:rsid w:val="0055194A"/>
    <w:rsid w:val="006D32C9"/>
    <w:rsid w:val="00765D18"/>
    <w:rsid w:val="007C1FF9"/>
    <w:rsid w:val="008B4806"/>
    <w:rsid w:val="00944BA2"/>
    <w:rsid w:val="00963EBF"/>
    <w:rsid w:val="00964831"/>
    <w:rsid w:val="009A1676"/>
    <w:rsid w:val="009C0BC5"/>
    <w:rsid w:val="00AD3CC6"/>
    <w:rsid w:val="00B83D98"/>
    <w:rsid w:val="00C205D0"/>
    <w:rsid w:val="00C4769A"/>
    <w:rsid w:val="00D01BC4"/>
    <w:rsid w:val="00DE675A"/>
    <w:rsid w:val="00E42F8D"/>
    <w:rsid w:val="00EF689A"/>
    <w:rsid w:val="00F8062F"/>
    <w:rsid w:val="00FE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37C4"/>
  <w15:chartTrackingRefBased/>
  <w15:docId w15:val="{734772E7-B2E2-4BE8-84DB-1F03B2D6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47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7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7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7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7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7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47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7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7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7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7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7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76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76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76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476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76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76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7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7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7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7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7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76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476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76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7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76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76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3</cp:revision>
  <dcterms:created xsi:type="dcterms:W3CDTF">2025-12-31T03:58:00Z</dcterms:created>
  <dcterms:modified xsi:type="dcterms:W3CDTF">2025-12-31T04:01:00Z</dcterms:modified>
</cp:coreProperties>
</file>