
<file path=[Content_Types].xml><?xml version="1.0" encoding="utf-8"?>
<Types xmlns="http://schemas.openxmlformats.org/package/2006/content-types">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BA0" w:rsidRPr="00190C70" w:rsidRDefault="00B21BA0" w:rsidP="001069A7">
      <w:pPr>
        <w:autoSpaceDE w:val="0"/>
        <w:spacing w:after="0" w:line="240" w:lineRule="auto"/>
        <w:jc w:val="center"/>
        <w:rPr>
          <w:rFonts w:cs="Arial"/>
          <w:b/>
          <w:color w:val="1F497D"/>
          <w:sz w:val="24"/>
          <w:szCs w:val="24"/>
          <w:lang w:val="es-ES"/>
        </w:rPr>
      </w:pPr>
      <w:r w:rsidRPr="00190C70">
        <w:rPr>
          <w:rFonts w:cs="Arial"/>
          <w:b/>
          <w:sz w:val="24"/>
          <w:szCs w:val="24"/>
          <w:lang w:val="es-ES_tradnl"/>
        </w:rPr>
        <w:t>EL CONCEJO</w:t>
      </w:r>
      <w:r w:rsidR="001069A7" w:rsidRPr="00190C70">
        <w:rPr>
          <w:rFonts w:cs="Arial"/>
          <w:b/>
          <w:sz w:val="24"/>
          <w:szCs w:val="24"/>
          <w:lang w:val="es-ES_tradnl"/>
        </w:rPr>
        <w:t xml:space="preserve"> MUNICIPAL </w:t>
      </w:r>
      <w:r w:rsidRPr="00190C70">
        <w:rPr>
          <w:rFonts w:cs="Arial"/>
          <w:b/>
          <w:sz w:val="24"/>
          <w:szCs w:val="24"/>
          <w:lang w:val="es-ES_tradnl"/>
        </w:rPr>
        <w:t xml:space="preserve"> DEL GOBIERNO AUTONOMO DESCENTRALIZADO DEL CANTÓN GUARANDA</w:t>
      </w:r>
    </w:p>
    <w:p w:rsidR="00B21BA0" w:rsidRPr="00190C70" w:rsidRDefault="00B21BA0" w:rsidP="00B21BA0">
      <w:pPr>
        <w:autoSpaceDE w:val="0"/>
        <w:spacing w:after="0" w:line="240" w:lineRule="auto"/>
        <w:jc w:val="both"/>
        <w:rPr>
          <w:rFonts w:cs="Arial"/>
          <w:sz w:val="24"/>
          <w:szCs w:val="24"/>
        </w:rPr>
      </w:pPr>
    </w:p>
    <w:p w:rsidR="000402B0" w:rsidRPr="00190C70" w:rsidRDefault="00190C70" w:rsidP="000402B0">
      <w:pPr>
        <w:jc w:val="center"/>
        <w:outlineLvl w:val="0"/>
        <w:rPr>
          <w:rFonts w:cs="Arial"/>
          <w:b/>
          <w:sz w:val="24"/>
          <w:szCs w:val="24"/>
        </w:rPr>
      </w:pPr>
      <w:r>
        <w:rPr>
          <w:rFonts w:cs="Arial"/>
          <w:b/>
          <w:sz w:val="24"/>
          <w:szCs w:val="24"/>
        </w:rPr>
        <w:t>EXPOSICION DE MOTIVOS</w:t>
      </w:r>
    </w:p>
    <w:p w:rsidR="000402B0" w:rsidRPr="00190C70" w:rsidRDefault="000402B0" w:rsidP="000402B0">
      <w:pPr>
        <w:jc w:val="both"/>
        <w:outlineLvl w:val="0"/>
        <w:rPr>
          <w:rFonts w:cs="Arial"/>
          <w:sz w:val="24"/>
          <w:szCs w:val="24"/>
        </w:rPr>
      </w:pPr>
      <w:r w:rsidRPr="00190C70">
        <w:rPr>
          <w:rFonts w:cs="Arial"/>
          <w:sz w:val="24"/>
          <w:szCs w:val="24"/>
        </w:rPr>
        <w:t xml:space="preserve">La Constitución de la Republica en su Art. 264 numeral 9), confiere competencia exclusiva a los Gobiernos Municipales para la formación y administración de los catastros inmobiliarios urbanos y rurales; </w:t>
      </w:r>
    </w:p>
    <w:p w:rsidR="000402B0" w:rsidRPr="00190C70" w:rsidRDefault="000402B0" w:rsidP="000402B0">
      <w:pPr>
        <w:jc w:val="both"/>
        <w:rPr>
          <w:rFonts w:cs="Arial"/>
          <w:sz w:val="24"/>
          <w:szCs w:val="24"/>
        </w:rPr>
      </w:pPr>
      <w:r w:rsidRPr="00190C70">
        <w:rPr>
          <w:rFonts w:cs="Arial"/>
          <w:sz w:val="24"/>
          <w:szCs w:val="24"/>
        </w:rPr>
        <w:t xml:space="preserve">El Código Orgánico de Organización Territorial, Autonomía y Descentralización en el Art. 55, determina que los gobiernos autónomos descentralizados municipales tendrán entre otras las siguientes competencias exclusivas, sin perjuicio de otras que determine la Ley: Literal. i) Elaborar y administrar los catastros inmobiliarios urbanos y rurales; </w:t>
      </w:r>
    </w:p>
    <w:p w:rsidR="000402B0" w:rsidRPr="00190C70" w:rsidRDefault="000402B0" w:rsidP="000402B0">
      <w:pPr>
        <w:jc w:val="both"/>
        <w:rPr>
          <w:rFonts w:cs="Arial"/>
          <w:sz w:val="24"/>
          <w:szCs w:val="24"/>
        </w:rPr>
      </w:pPr>
      <w:r w:rsidRPr="00190C70">
        <w:rPr>
          <w:rFonts w:cs="Arial"/>
          <w:sz w:val="24"/>
          <w:szCs w:val="24"/>
        </w:rPr>
        <w:t>Conforme la Ley, es obligación del Gobierno Autónomo Descentralizado Municipal del cantón Guaranda, regular mediante Ordenanza la determinación, administración y recaudación de impuesto predial urbano y rural, observando los principios básicos de igualdad, proporcionalidad, progresividad y generalidad que sustente</w:t>
      </w:r>
      <w:r w:rsidR="00190C70">
        <w:rPr>
          <w:rFonts w:cs="Arial"/>
          <w:sz w:val="24"/>
          <w:szCs w:val="24"/>
        </w:rPr>
        <w:t xml:space="preserve"> el sistema tributario nacional;</w:t>
      </w:r>
      <w:r w:rsidRPr="00190C70">
        <w:rPr>
          <w:rFonts w:cs="Arial"/>
          <w:sz w:val="24"/>
          <w:szCs w:val="24"/>
        </w:rPr>
        <w:t xml:space="preserve"> </w:t>
      </w:r>
    </w:p>
    <w:p w:rsidR="000402B0" w:rsidRPr="00190C70" w:rsidRDefault="000402B0" w:rsidP="000402B0">
      <w:pPr>
        <w:jc w:val="both"/>
        <w:outlineLvl w:val="0"/>
        <w:rPr>
          <w:rFonts w:cs="Arial"/>
          <w:sz w:val="24"/>
          <w:szCs w:val="24"/>
        </w:rPr>
      </w:pPr>
      <w:r w:rsidRPr="00190C70">
        <w:rPr>
          <w:rFonts w:cs="Arial"/>
          <w:sz w:val="24"/>
          <w:szCs w:val="24"/>
        </w:rPr>
        <w:t xml:space="preserve">El impuesto sobre la propiedad urbana y rural, son ingresos tributarios de las Municipalidades, y obligatorio para los sujetos pasivos de la misma, siendo estos los propietarios o poseedores de los inmuebles. Como también es obligación de los mismos actualizar cada dos años los catastros y la valoración de la propiedad urbana y rural; </w:t>
      </w:r>
    </w:p>
    <w:p w:rsidR="00190C70" w:rsidRDefault="000402B0" w:rsidP="000402B0">
      <w:pPr>
        <w:jc w:val="both"/>
        <w:outlineLvl w:val="0"/>
        <w:rPr>
          <w:rFonts w:cs="Arial"/>
          <w:sz w:val="24"/>
          <w:szCs w:val="24"/>
        </w:rPr>
      </w:pPr>
      <w:r w:rsidRPr="00190C70">
        <w:rPr>
          <w:rFonts w:cs="Arial"/>
          <w:sz w:val="24"/>
          <w:szCs w:val="24"/>
        </w:rPr>
        <w:t>Según lo dispuesto en el Art. 494 del Código Orgánico De Organización Territorial Autonomía y Descentralización, reglamenta los procesos de formación del catastro, de valoración de la propiedad y el cobro de sus tributos, su aplicación se sujetará a las siguientes normas. Las municipalidades y distritos metropolitanos mantendrán actualizados en forma permanente, los catastros de predios urbanos y rurales. Los bienes inmuebles constarán en el catastro con el valor de la propiedad actualizado, en los términos establecidos en este Código;</w:t>
      </w:r>
    </w:p>
    <w:p w:rsidR="00190C70" w:rsidRPr="00190C70" w:rsidRDefault="00190C70" w:rsidP="000402B0">
      <w:pPr>
        <w:jc w:val="both"/>
        <w:outlineLvl w:val="0"/>
        <w:rPr>
          <w:rFonts w:cs="Arial"/>
          <w:sz w:val="24"/>
          <w:szCs w:val="24"/>
        </w:rPr>
      </w:pPr>
    </w:p>
    <w:p w:rsidR="00190C70" w:rsidRPr="00190C70" w:rsidRDefault="000402B0" w:rsidP="00190C70">
      <w:pPr>
        <w:jc w:val="both"/>
        <w:rPr>
          <w:rFonts w:cs="Arial"/>
          <w:sz w:val="24"/>
          <w:szCs w:val="24"/>
        </w:rPr>
      </w:pPr>
      <w:r w:rsidRPr="00190C70">
        <w:rPr>
          <w:rFonts w:cs="Arial"/>
          <w:sz w:val="24"/>
          <w:szCs w:val="24"/>
        </w:rPr>
        <w:lastRenderedPageBreak/>
        <w:t>Conforme lo dispuesto por el Ejecutivo del GADC. Guaranda ponemos en conocimiento: la ORDENANZA QUE REGULA LA FORMACIÓN DE LOS CATASTROS PREDIALES URBANOS Y RURALES, LA DETERMINACION, ADMINISTRACIÓN Y RECAUDACIÓN DEL IMPUESTO A LOS PREDIOS URBANOS Y RURALES PARA EL BIENIO 2018 -2019 DEL CANTÓN GUARANDA, la misma que ha sido analizado por la Comisión de Planificación y Presupuesto del GADC. Guaranda, considerando que esta Ordenanza constituye una norma legal para el desarrollo y ejercicio de la misión institucional.</w:t>
      </w:r>
    </w:p>
    <w:p w:rsidR="00190C70" w:rsidRDefault="00190C70" w:rsidP="00B21BA0">
      <w:pPr>
        <w:autoSpaceDE w:val="0"/>
        <w:spacing w:after="0" w:line="240" w:lineRule="auto"/>
        <w:jc w:val="center"/>
        <w:rPr>
          <w:rFonts w:cs="Arial"/>
          <w:b/>
          <w:sz w:val="24"/>
          <w:szCs w:val="24"/>
          <w:lang w:val="es-ES"/>
        </w:rPr>
      </w:pPr>
    </w:p>
    <w:p w:rsidR="00190C70" w:rsidRPr="00190C70" w:rsidRDefault="00190C70" w:rsidP="00B21BA0">
      <w:pPr>
        <w:autoSpaceDE w:val="0"/>
        <w:spacing w:after="0" w:line="240" w:lineRule="auto"/>
        <w:jc w:val="center"/>
        <w:rPr>
          <w:rFonts w:cs="Arial"/>
          <w:b/>
          <w:sz w:val="24"/>
          <w:szCs w:val="24"/>
          <w:lang w:val="es-ES"/>
        </w:rPr>
      </w:pPr>
    </w:p>
    <w:p w:rsidR="00B21BA0" w:rsidRPr="00190C70" w:rsidRDefault="00190C70" w:rsidP="00B21BA0">
      <w:pPr>
        <w:autoSpaceDE w:val="0"/>
        <w:spacing w:after="0" w:line="240" w:lineRule="auto"/>
        <w:jc w:val="center"/>
        <w:rPr>
          <w:rFonts w:cs="Arial"/>
          <w:b/>
          <w:sz w:val="24"/>
          <w:szCs w:val="24"/>
          <w:lang w:val="es-ES_tradnl"/>
        </w:rPr>
      </w:pPr>
      <w:r w:rsidRPr="00190C70">
        <w:rPr>
          <w:rFonts w:cs="Arial"/>
          <w:b/>
          <w:sz w:val="24"/>
          <w:szCs w:val="24"/>
        </w:rPr>
        <w:t>CONSIDERANDO</w:t>
      </w:r>
    </w:p>
    <w:p w:rsidR="00B21BA0" w:rsidRPr="00190C70" w:rsidRDefault="00B21BA0" w:rsidP="00B21BA0">
      <w:pPr>
        <w:autoSpaceDE w:val="0"/>
        <w:spacing w:after="0" w:line="240" w:lineRule="auto"/>
        <w:jc w:val="center"/>
        <w:rPr>
          <w:rFonts w:cs="Arial"/>
          <w:b/>
          <w:color w:val="FFFFFF"/>
          <w:sz w:val="24"/>
          <w:szCs w:val="24"/>
          <w:lang w:val="es-ES_tradnl"/>
        </w:rPr>
      </w:pPr>
    </w:p>
    <w:p w:rsidR="00B21BA0" w:rsidRPr="00190C70" w:rsidRDefault="00B21BA0" w:rsidP="00190C70">
      <w:pPr>
        <w:spacing w:after="0"/>
        <w:jc w:val="both"/>
        <w:rPr>
          <w:rFonts w:cs="Arial"/>
          <w:spacing w:val="2"/>
          <w:sz w:val="24"/>
          <w:szCs w:val="24"/>
        </w:rPr>
      </w:pPr>
      <w:r w:rsidRPr="00190C70">
        <w:rPr>
          <w:rFonts w:cs="Arial"/>
          <w:b/>
          <w:sz w:val="24"/>
          <w:szCs w:val="24"/>
        </w:rPr>
        <w:t>Que,</w:t>
      </w:r>
      <w:r w:rsidRPr="00190C70">
        <w:rPr>
          <w:rFonts w:cs="Arial"/>
          <w:sz w:val="24"/>
          <w:szCs w:val="24"/>
        </w:rPr>
        <w:t xml:space="preserve"> el </w:t>
      </w:r>
      <w:r w:rsidRPr="00190C70">
        <w:rPr>
          <w:rFonts w:cs="Arial"/>
          <w:noProof/>
          <w:sz w:val="24"/>
          <w:szCs w:val="24"/>
        </w:rPr>
        <w:t>artículo</w:t>
      </w:r>
      <w:r w:rsidRPr="00190C70">
        <w:rPr>
          <w:rFonts w:cs="Arial"/>
          <w:sz w:val="24"/>
          <w:szCs w:val="24"/>
        </w:rPr>
        <w:t xml:space="preserve"> 10 de la Constitución de la República prescribe que, las fuentes del derecho se han ampliado considerando a: “</w:t>
      </w:r>
      <w:r w:rsidRPr="00190C70">
        <w:rPr>
          <w:rFonts w:cs="Arial"/>
          <w:spacing w:val="2"/>
          <w:sz w:val="24"/>
          <w:szCs w:val="24"/>
        </w:rPr>
        <w:t>Las personas, comunidades, pueblos,  nacionalidades y colectivos son titulares y gozarán de los derechos garantizados en la Constitución y en los instrumentos internacionales”;</w:t>
      </w:r>
    </w:p>
    <w:p w:rsidR="00B21BA0" w:rsidRPr="00190C70" w:rsidRDefault="00B21BA0" w:rsidP="00190C70">
      <w:pPr>
        <w:spacing w:after="0"/>
        <w:jc w:val="both"/>
        <w:rPr>
          <w:rFonts w:eastAsia="Times New Roman" w:cs="Arial"/>
          <w:sz w:val="24"/>
          <w:szCs w:val="24"/>
        </w:rPr>
      </w:pPr>
    </w:p>
    <w:p w:rsidR="00B21BA0" w:rsidRPr="00190C70" w:rsidRDefault="00B21BA0" w:rsidP="00190C70">
      <w:pPr>
        <w:spacing w:after="0"/>
        <w:jc w:val="both"/>
        <w:rPr>
          <w:rFonts w:eastAsia="Times New Roman" w:cs="Arial"/>
          <w:sz w:val="24"/>
          <w:szCs w:val="24"/>
        </w:rPr>
      </w:pPr>
      <w:r w:rsidRPr="00190C70">
        <w:rPr>
          <w:rFonts w:eastAsia="Times New Roman" w:cs="Arial"/>
          <w:b/>
          <w:sz w:val="24"/>
          <w:szCs w:val="24"/>
        </w:rPr>
        <w:t>Que,</w:t>
      </w:r>
      <w:r w:rsidRPr="00190C70">
        <w:rPr>
          <w:rFonts w:eastAsia="Times New Roman" w:cs="Arial"/>
          <w:sz w:val="24"/>
          <w:szCs w:val="24"/>
        </w:rPr>
        <w:t xml:space="preserve"> el artículo 238 de la Constitución de la República del Ecuador otorga a los gobiernos autónomos descentralizados autonomía política, administrativa y financiera, disposición constitucional que se encuentra ampliamente desarrollada en los artículos 5 y 6 del Código Orgánico de Organización Territorial, Autonomía y Descentralización; </w:t>
      </w:r>
    </w:p>
    <w:p w:rsidR="00B21BA0" w:rsidRPr="00190C70" w:rsidRDefault="00B21BA0" w:rsidP="00190C70">
      <w:pPr>
        <w:spacing w:after="0"/>
        <w:jc w:val="both"/>
        <w:rPr>
          <w:rFonts w:eastAsia="Times New Roman" w:cs="Arial"/>
          <w:sz w:val="24"/>
          <w:szCs w:val="24"/>
        </w:rPr>
      </w:pPr>
    </w:p>
    <w:p w:rsidR="00B21BA0" w:rsidRPr="00190C70" w:rsidRDefault="00B21BA0" w:rsidP="00190C70">
      <w:pPr>
        <w:jc w:val="both"/>
        <w:rPr>
          <w:rFonts w:cs="Arial"/>
          <w:spacing w:val="2"/>
          <w:sz w:val="24"/>
          <w:szCs w:val="24"/>
        </w:rPr>
      </w:pPr>
      <w:r w:rsidRPr="00190C70">
        <w:rPr>
          <w:rFonts w:cs="Arial"/>
          <w:b/>
          <w:sz w:val="24"/>
          <w:szCs w:val="24"/>
        </w:rPr>
        <w:t>Que,</w:t>
      </w:r>
      <w:r w:rsidRPr="00190C70">
        <w:rPr>
          <w:rFonts w:cs="Arial"/>
          <w:sz w:val="24"/>
          <w:szCs w:val="24"/>
        </w:rPr>
        <w:t xml:space="preserve"> el </w:t>
      </w:r>
      <w:r w:rsidRPr="00190C70">
        <w:rPr>
          <w:rFonts w:cs="Arial"/>
          <w:noProof/>
          <w:sz w:val="24"/>
          <w:szCs w:val="24"/>
        </w:rPr>
        <w:t>artículo</w:t>
      </w:r>
      <w:r w:rsidRPr="00190C70">
        <w:rPr>
          <w:rFonts w:cs="Arial"/>
          <w:sz w:val="24"/>
          <w:szCs w:val="24"/>
        </w:rPr>
        <w:t xml:space="preserve"> 264 numeral 9 de la Constitución de la República, confiere competencia exclusiva a los Gobiernos Municipales para la formación y administración de los catastros inmobiliarios </w:t>
      </w:r>
      <w:r w:rsidRPr="00190C70">
        <w:rPr>
          <w:rFonts w:cs="Arial"/>
          <w:spacing w:val="2"/>
          <w:sz w:val="24"/>
          <w:szCs w:val="24"/>
        </w:rPr>
        <w:t>urbanos y rurales;</w:t>
      </w:r>
    </w:p>
    <w:p w:rsidR="00B21BA0" w:rsidRPr="00190C70" w:rsidRDefault="00B21BA0" w:rsidP="00190C70">
      <w:pPr>
        <w:pStyle w:val="Style7"/>
        <w:spacing w:line="276" w:lineRule="auto"/>
        <w:ind w:right="0"/>
        <w:rPr>
          <w:rFonts w:asciiTheme="minorHAnsi" w:hAnsiTheme="minorHAnsi" w:cs="Arial"/>
          <w:lang w:val="es-ES_tradnl"/>
        </w:rPr>
      </w:pPr>
      <w:r w:rsidRPr="00190C70">
        <w:rPr>
          <w:rFonts w:asciiTheme="minorHAnsi" w:hAnsiTheme="minorHAnsi" w:cs="Arial"/>
          <w:b/>
          <w:spacing w:val="2"/>
          <w:lang w:val="es-ES"/>
        </w:rPr>
        <w:t>Que,</w:t>
      </w:r>
      <w:r w:rsidRPr="00190C70">
        <w:rPr>
          <w:rFonts w:asciiTheme="minorHAnsi" w:hAnsiTheme="minorHAnsi" w:cs="Arial"/>
          <w:spacing w:val="2"/>
          <w:lang w:val="es-ES"/>
        </w:rPr>
        <w:t xml:space="preserve"> el </w:t>
      </w:r>
      <w:r w:rsidRPr="00190C70">
        <w:rPr>
          <w:rFonts w:asciiTheme="minorHAnsi" w:hAnsiTheme="minorHAnsi" w:cs="Arial"/>
          <w:noProof/>
          <w:lang w:val="es-MX"/>
        </w:rPr>
        <w:t>artículo</w:t>
      </w:r>
      <w:r w:rsidRPr="00190C70">
        <w:rPr>
          <w:rFonts w:asciiTheme="minorHAnsi" w:hAnsiTheme="minorHAnsi" w:cs="Arial"/>
          <w:spacing w:val="2"/>
          <w:lang w:val="es-ES"/>
        </w:rPr>
        <w:t xml:space="preserve"> 270 de la Constitución de la República determina que </w:t>
      </w:r>
      <w:r w:rsidRPr="00190C70">
        <w:rPr>
          <w:rFonts w:asciiTheme="minorHAnsi" w:hAnsiTheme="minorHAnsi" w:cs="Arial"/>
          <w:lang w:val="es-ES_tradnl"/>
        </w:rPr>
        <w:t>los Gobiernos Autónomos Descentralizados generarán sus propios recursos financieros y participarán de las rentas del Estado, de conformidad con los principios de subsidiariedad, solidaridad y equidad;</w:t>
      </w:r>
    </w:p>
    <w:p w:rsidR="00190C70" w:rsidRPr="00190C70" w:rsidRDefault="00B21BA0" w:rsidP="00190C70">
      <w:pPr>
        <w:spacing w:before="280" w:after="280"/>
        <w:jc w:val="both"/>
        <w:rPr>
          <w:rFonts w:eastAsia="Times New Roman" w:cs="Arial"/>
          <w:bCs/>
          <w:color w:val="000000"/>
          <w:sz w:val="24"/>
          <w:szCs w:val="24"/>
        </w:rPr>
      </w:pPr>
      <w:r w:rsidRPr="00190C70">
        <w:rPr>
          <w:rFonts w:eastAsia="Times New Roman" w:cs="Arial"/>
          <w:b/>
          <w:bCs/>
          <w:color w:val="000000"/>
          <w:sz w:val="24"/>
          <w:szCs w:val="24"/>
        </w:rPr>
        <w:lastRenderedPageBreak/>
        <w:t>Que,</w:t>
      </w:r>
      <w:r w:rsidRPr="00190C70">
        <w:rPr>
          <w:rFonts w:eastAsia="Times New Roman" w:cs="Arial"/>
          <w:bCs/>
          <w:color w:val="000000"/>
          <w:sz w:val="24"/>
          <w:szCs w:val="24"/>
        </w:rPr>
        <w:t xml:space="preserve"> el </w:t>
      </w:r>
      <w:r w:rsidRPr="00190C70">
        <w:rPr>
          <w:rFonts w:cs="Arial"/>
          <w:noProof/>
          <w:sz w:val="24"/>
          <w:szCs w:val="24"/>
        </w:rPr>
        <w:t>artículo</w:t>
      </w:r>
      <w:r w:rsidRPr="00190C70">
        <w:rPr>
          <w:rFonts w:eastAsia="Times New Roman" w:cs="Arial"/>
          <w:bCs/>
          <w:color w:val="000000"/>
          <w:sz w:val="24"/>
          <w:szCs w:val="24"/>
        </w:rPr>
        <w:t xml:space="preserve"> 321 de la Constitución de la República establece que el Estado reconoce y garantiza el derecho a la propiedad en sus formas pública, privada, comunitaria, estatal, asociativa, cooperativa, mixta, y que deberá cumplir su función social y ambiental; </w:t>
      </w:r>
    </w:p>
    <w:p w:rsidR="00B21BA0" w:rsidRPr="00190C70" w:rsidRDefault="00054777" w:rsidP="00190C70">
      <w:pPr>
        <w:spacing w:after="0"/>
        <w:jc w:val="both"/>
        <w:rPr>
          <w:rFonts w:eastAsia="Times New Roman" w:cs="Arial"/>
          <w:sz w:val="24"/>
          <w:szCs w:val="24"/>
        </w:rPr>
      </w:pPr>
      <w:r w:rsidRPr="00190C70">
        <w:rPr>
          <w:rFonts w:eastAsia="Times New Roman" w:cs="Arial"/>
          <w:b/>
          <w:sz w:val="24"/>
          <w:szCs w:val="24"/>
        </w:rPr>
        <w:t>Que,</w:t>
      </w:r>
      <w:r w:rsidRPr="00190C70">
        <w:rPr>
          <w:rFonts w:eastAsia="Times New Roman" w:cs="Arial"/>
          <w:sz w:val="24"/>
          <w:szCs w:val="24"/>
        </w:rPr>
        <w:t xml:space="preserve"> el </w:t>
      </w:r>
      <w:r w:rsidR="006B0EF5" w:rsidRPr="00190C70">
        <w:rPr>
          <w:rFonts w:eastAsia="Times New Roman" w:cs="Arial"/>
          <w:sz w:val="24"/>
          <w:szCs w:val="24"/>
        </w:rPr>
        <w:t>artículo</w:t>
      </w:r>
      <w:r w:rsidR="00B21BA0" w:rsidRPr="00190C70">
        <w:rPr>
          <w:rFonts w:eastAsia="Times New Roman" w:cs="Arial"/>
          <w:sz w:val="24"/>
          <w:szCs w:val="24"/>
        </w:rPr>
        <w:t xml:space="preserve"> 7 del Código Orgánico de Organización Territorial, Autonomía y Descentralización al tratar sobre la facultad normativa, dice: "Para el pleno ejercicio de sus competencias y de las facultades que de manera concurrente podrán asumir, se reconoce a los...concejos municipales, la capacidad para dictar normas de carácter general, a través de ordenanzas, acuerdos y resoluciones, aplicables dentro de su circunscripción territorial”</w:t>
      </w:r>
      <w:r w:rsidR="00003147" w:rsidRPr="00190C70">
        <w:rPr>
          <w:rFonts w:eastAsia="Times New Roman" w:cs="Arial"/>
          <w:sz w:val="24"/>
          <w:szCs w:val="24"/>
        </w:rPr>
        <w:t>;</w:t>
      </w:r>
    </w:p>
    <w:p w:rsidR="00B21BA0" w:rsidRPr="00190C70" w:rsidRDefault="00B21BA0" w:rsidP="00190C70">
      <w:pPr>
        <w:spacing w:after="0"/>
        <w:jc w:val="both"/>
        <w:rPr>
          <w:rFonts w:eastAsia="Times New Roman" w:cs="Arial"/>
          <w:sz w:val="24"/>
          <w:szCs w:val="24"/>
        </w:rPr>
      </w:pPr>
    </w:p>
    <w:p w:rsidR="00B21BA0" w:rsidRPr="00190C70" w:rsidRDefault="00B21BA0" w:rsidP="00190C70">
      <w:pPr>
        <w:autoSpaceDE w:val="0"/>
        <w:spacing w:after="0"/>
        <w:jc w:val="both"/>
        <w:rPr>
          <w:rFonts w:cs="Arial"/>
          <w:sz w:val="24"/>
          <w:szCs w:val="24"/>
          <w:lang w:val="es-ES_tradnl"/>
        </w:rPr>
      </w:pPr>
      <w:r w:rsidRPr="00190C70">
        <w:rPr>
          <w:rFonts w:cs="Arial"/>
          <w:b/>
          <w:sz w:val="24"/>
          <w:szCs w:val="24"/>
          <w:lang w:val="es-ES_tradnl"/>
        </w:rPr>
        <w:t>Que,</w:t>
      </w:r>
      <w:r w:rsidRPr="00190C70">
        <w:rPr>
          <w:rFonts w:cs="Arial"/>
          <w:sz w:val="24"/>
          <w:szCs w:val="24"/>
          <w:lang w:val="es-ES_tradnl"/>
        </w:rPr>
        <w:t xml:space="preserve"> el artículo 55 del </w:t>
      </w:r>
      <w:r w:rsidRPr="00190C70">
        <w:rPr>
          <w:rFonts w:cs="Arial"/>
          <w:sz w:val="24"/>
          <w:szCs w:val="24"/>
          <w:lang w:val="es-ES"/>
        </w:rPr>
        <w:t>Código Orgánico de Organización Territorial Autonomía y Descentralización</w:t>
      </w:r>
      <w:r w:rsidRPr="00190C70">
        <w:rPr>
          <w:rFonts w:cs="Arial"/>
          <w:sz w:val="24"/>
          <w:szCs w:val="24"/>
          <w:lang w:val="es-ES_tradnl"/>
        </w:rPr>
        <w:t xml:space="preserve"> establece que los gobiernos autónomos descentralizados municipales tendrán entre otras las siguientes competencias exclusivas, sin perjuicio de otras que determine la ley: I) Elaborar y administrar los catastros inmobiliarios urbanos y rurales;</w:t>
      </w:r>
    </w:p>
    <w:p w:rsidR="00B21BA0" w:rsidRPr="00190C70" w:rsidRDefault="00B21BA0" w:rsidP="00190C70">
      <w:pPr>
        <w:autoSpaceDE w:val="0"/>
        <w:spacing w:after="0"/>
        <w:jc w:val="both"/>
        <w:rPr>
          <w:rFonts w:cs="Arial"/>
          <w:sz w:val="24"/>
          <w:szCs w:val="24"/>
          <w:lang w:val="es-ES_tradnl"/>
        </w:rPr>
      </w:pPr>
    </w:p>
    <w:p w:rsidR="00B21BA0" w:rsidRPr="00190C70" w:rsidRDefault="00B21BA0" w:rsidP="00190C70">
      <w:pPr>
        <w:autoSpaceDE w:val="0"/>
        <w:spacing w:after="0"/>
        <w:jc w:val="both"/>
        <w:rPr>
          <w:rFonts w:cs="Arial"/>
          <w:sz w:val="24"/>
          <w:szCs w:val="24"/>
          <w:lang w:val="es-ES_tradnl"/>
        </w:rPr>
      </w:pPr>
      <w:r w:rsidRPr="00190C70">
        <w:rPr>
          <w:rFonts w:cs="Arial"/>
          <w:b/>
          <w:sz w:val="24"/>
          <w:szCs w:val="24"/>
          <w:lang w:val="es-ES_tradnl"/>
        </w:rPr>
        <w:t>Que,</w:t>
      </w:r>
      <w:r w:rsidRPr="00190C70">
        <w:rPr>
          <w:rFonts w:cs="Arial"/>
          <w:sz w:val="24"/>
          <w:szCs w:val="24"/>
          <w:lang w:val="es-ES_tradnl"/>
        </w:rPr>
        <w:t xml:space="preserve"> el artículo 139 del </w:t>
      </w:r>
      <w:r w:rsidRPr="00190C70">
        <w:rPr>
          <w:rFonts w:cs="Arial"/>
          <w:sz w:val="24"/>
          <w:szCs w:val="24"/>
          <w:lang w:val="es-ES"/>
        </w:rPr>
        <w:t>Código Orgánico de Organización Territorial Autonomía y Descentralización</w:t>
      </w:r>
      <w:r w:rsidRPr="00190C70">
        <w:rPr>
          <w:rFonts w:cs="Arial"/>
          <w:sz w:val="24"/>
          <w:szCs w:val="24"/>
          <w:lang w:val="es-ES_tradnl"/>
        </w:rPr>
        <w:t xml:space="preserve"> determina que la formación y administración de los catastros inmobiliarios urbanos y rurales corresponde a los Gobiernos Autónomos Descentralizados Municipales, los que con la finalidad de unificar la metodología de manejo y acceso a la información deberán seguir los lineamientos y parámetros metodológicos que establezca la ley y que es obligación de dichos gobiernos actualizar cada dos años los catastros y la valoración de la propiedad urbana y rural;</w:t>
      </w:r>
    </w:p>
    <w:p w:rsidR="00B21BA0" w:rsidRPr="00190C70" w:rsidRDefault="00B21BA0" w:rsidP="00190C70">
      <w:pPr>
        <w:autoSpaceDE w:val="0"/>
        <w:spacing w:after="0"/>
        <w:jc w:val="both"/>
        <w:rPr>
          <w:rFonts w:cs="Arial"/>
          <w:sz w:val="24"/>
          <w:szCs w:val="24"/>
          <w:lang w:val="es-ES"/>
        </w:rPr>
      </w:pPr>
    </w:p>
    <w:p w:rsidR="00B21BA0" w:rsidRDefault="00B21BA0" w:rsidP="00190C70">
      <w:pPr>
        <w:autoSpaceDE w:val="0"/>
        <w:spacing w:after="0"/>
        <w:jc w:val="both"/>
        <w:rPr>
          <w:rFonts w:cs="Arial"/>
          <w:sz w:val="24"/>
          <w:szCs w:val="24"/>
          <w:lang w:val="es-ES_tradnl"/>
        </w:rPr>
      </w:pPr>
      <w:r w:rsidRPr="00190C70">
        <w:rPr>
          <w:rFonts w:cs="Arial"/>
          <w:b/>
          <w:sz w:val="24"/>
          <w:szCs w:val="24"/>
          <w:lang w:val="es-ES_tradnl"/>
        </w:rPr>
        <w:t>Que,</w:t>
      </w:r>
      <w:r w:rsidRPr="00190C70">
        <w:rPr>
          <w:rFonts w:cs="Arial"/>
          <w:sz w:val="24"/>
          <w:szCs w:val="24"/>
          <w:lang w:val="es-ES_tradnl"/>
        </w:rPr>
        <w:t xml:space="preserve"> los ingresos   propios   de   la   gestión según lo dispuesto en el </w:t>
      </w:r>
      <w:r w:rsidRPr="00190C70">
        <w:rPr>
          <w:rFonts w:cs="Arial"/>
          <w:noProof/>
          <w:sz w:val="24"/>
          <w:szCs w:val="24"/>
        </w:rPr>
        <w:t>artículo</w:t>
      </w:r>
      <w:r w:rsidRPr="00190C70">
        <w:rPr>
          <w:rFonts w:cs="Arial"/>
          <w:sz w:val="24"/>
          <w:szCs w:val="24"/>
          <w:lang w:val="es-ES_tradnl"/>
        </w:rPr>
        <w:t xml:space="preserve">  172 del </w:t>
      </w:r>
      <w:r w:rsidRPr="00190C70">
        <w:rPr>
          <w:rFonts w:cs="Arial"/>
          <w:sz w:val="24"/>
          <w:szCs w:val="24"/>
          <w:lang w:val="es-ES"/>
        </w:rPr>
        <w:t>Código Orgánico de Organización Territorial Autonomía y Descentralización</w:t>
      </w:r>
      <w:r w:rsidRPr="00190C70">
        <w:rPr>
          <w:rFonts w:cs="Arial"/>
          <w:sz w:val="24"/>
          <w:szCs w:val="24"/>
          <w:lang w:val="es-ES_tradnl"/>
        </w:rPr>
        <w:t>, los gobiernos autónomos descentralizados regionales, provinciales, metropolitano y municipal son beneficiarios de ingresos generados por la gestión propia, y su clasificación estará sujeta a la definición de la ley que regule las finanzas públicas;</w:t>
      </w:r>
    </w:p>
    <w:p w:rsidR="00190C70" w:rsidRPr="00190C70" w:rsidRDefault="00190C70" w:rsidP="00190C70">
      <w:pPr>
        <w:autoSpaceDE w:val="0"/>
        <w:spacing w:after="0"/>
        <w:jc w:val="both"/>
        <w:rPr>
          <w:rFonts w:cs="Arial"/>
          <w:sz w:val="24"/>
          <w:szCs w:val="24"/>
          <w:lang w:val="es-ES_tradnl"/>
        </w:rPr>
      </w:pPr>
    </w:p>
    <w:p w:rsidR="00B21BA0" w:rsidRPr="00190C70" w:rsidRDefault="00B21BA0" w:rsidP="00190C70">
      <w:pPr>
        <w:autoSpaceDE w:val="0"/>
        <w:spacing w:after="0"/>
        <w:jc w:val="both"/>
        <w:rPr>
          <w:rFonts w:cs="Arial"/>
          <w:sz w:val="24"/>
          <w:szCs w:val="24"/>
        </w:rPr>
      </w:pPr>
    </w:p>
    <w:p w:rsidR="00B21BA0" w:rsidRDefault="00054777" w:rsidP="00190C70">
      <w:pPr>
        <w:spacing w:after="0"/>
        <w:jc w:val="both"/>
        <w:rPr>
          <w:rFonts w:eastAsia="Times New Roman" w:cs="Arial"/>
          <w:sz w:val="24"/>
          <w:szCs w:val="24"/>
        </w:rPr>
      </w:pPr>
      <w:r w:rsidRPr="00190C70">
        <w:rPr>
          <w:rFonts w:eastAsia="Times New Roman" w:cs="Arial"/>
          <w:b/>
          <w:sz w:val="24"/>
          <w:szCs w:val="24"/>
        </w:rPr>
        <w:lastRenderedPageBreak/>
        <w:t>Que,</w:t>
      </w:r>
      <w:r w:rsidRPr="00190C70">
        <w:rPr>
          <w:rFonts w:eastAsia="Times New Roman" w:cs="Arial"/>
          <w:sz w:val="24"/>
          <w:szCs w:val="24"/>
        </w:rPr>
        <w:t xml:space="preserve"> el artículo</w:t>
      </w:r>
      <w:r w:rsidR="00B21BA0" w:rsidRPr="00190C70">
        <w:rPr>
          <w:rFonts w:eastAsia="Times New Roman" w:cs="Arial"/>
          <w:sz w:val="24"/>
          <w:szCs w:val="24"/>
        </w:rPr>
        <w:t xml:space="preserve"> 497 del Código Orgánico de Organización Territorial, Autonomía y Descentralización establece: “Actualización de los impuestos.-Una vez realizada la actualización de los avalúos, será revisado el monto de los impuestos prediales urbano y rural que regirán para el bienio; la revisión la hará el concejo, observando los principios básicos de igualdad, proporcionalidad, progresividad y generalidad que sustentan el sistema tributario nacional”;</w:t>
      </w:r>
    </w:p>
    <w:p w:rsidR="00B21BA0" w:rsidRPr="00190C70" w:rsidRDefault="00B21BA0" w:rsidP="00190C70">
      <w:pPr>
        <w:spacing w:after="0"/>
        <w:jc w:val="both"/>
        <w:rPr>
          <w:rFonts w:eastAsia="Times New Roman" w:cs="Arial"/>
          <w:sz w:val="24"/>
          <w:szCs w:val="24"/>
        </w:rPr>
      </w:pPr>
    </w:p>
    <w:p w:rsidR="00BE7BF1" w:rsidRPr="00190C70" w:rsidRDefault="00054777" w:rsidP="00190C70">
      <w:pPr>
        <w:spacing w:after="0"/>
        <w:jc w:val="both"/>
        <w:rPr>
          <w:rFonts w:eastAsia="Times New Roman" w:cs="Arial"/>
          <w:sz w:val="24"/>
          <w:szCs w:val="24"/>
        </w:rPr>
      </w:pPr>
      <w:r w:rsidRPr="00190C70">
        <w:rPr>
          <w:rFonts w:eastAsia="Times New Roman" w:cs="Arial"/>
          <w:b/>
          <w:sz w:val="24"/>
          <w:szCs w:val="24"/>
        </w:rPr>
        <w:t>Que,</w:t>
      </w:r>
      <w:r w:rsidRPr="00190C70">
        <w:rPr>
          <w:rFonts w:eastAsia="Times New Roman" w:cs="Arial"/>
          <w:sz w:val="24"/>
          <w:szCs w:val="24"/>
        </w:rPr>
        <w:t xml:space="preserve"> el artículo</w:t>
      </w:r>
      <w:r w:rsidR="00BE7BF1" w:rsidRPr="00190C70">
        <w:rPr>
          <w:rFonts w:eastAsia="Times New Roman" w:cs="Arial"/>
          <w:sz w:val="24"/>
          <w:szCs w:val="24"/>
        </w:rPr>
        <w:t xml:space="preserve"> 504 del Código Orgánico de Organización Territorial, Autonomía y Descentralización dice: Al valor de la propiedad urbana  se aplicará un  porcentaje que oscilará entre un mínimo de cero punto veinticinco por mil (0,25</w:t>
      </w:r>
      <w:r w:rsidR="00757591" w:rsidRPr="00190C70">
        <w:rPr>
          <w:rFonts w:eastAsia="Times New Roman" w:cs="Arial"/>
          <w:sz w:val="24"/>
          <w:szCs w:val="24"/>
        </w:rPr>
        <w:t>%o</w:t>
      </w:r>
      <w:r w:rsidR="005D2C0B" w:rsidRPr="00190C70">
        <w:rPr>
          <w:rFonts w:eastAsia="Times New Roman" w:cs="Arial"/>
          <w:sz w:val="24"/>
          <w:szCs w:val="24"/>
        </w:rPr>
        <w:t>) y un máximo del cinco por mil (5%o) que será fijado mediante ordenanza por cada Concejo Municipal.</w:t>
      </w:r>
    </w:p>
    <w:p w:rsidR="005D2C0B" w:rsidRPr="00190C70" w:rsidRDefault="005D2C0B" w:rsidP="00190C70">
      <w:pPr>
        <w:spacing w:after="0"/>
        <w:jc w:val="both"/>
        <w:rPr>
          <w:rFonts w:eastAsia="Times New Roman" w:cs="Arial"/>
          <w:sz w:val="24"/>
          <w:szCs w:val="24"/>
        </w:rPr>
      </w:pPr>
    </w:p>
    <w:p w:rsidR="00B21BA0" w:rsidRPr="00190C70" w:rsidRDefault="00190C70" w:rsidP="00190C70">
      <w:pPr>
        <w:spacing w:after="0"/>
        <w:jc w:val="both"/>
        <w:rPr>
          <w:rFonts w:eastAsia="Times New Roman" w:cs="Arial"/>
          <w:sz w:val="24"/>
          <w:szCs w:val="24"/>
        </w:rPr>
      </w:pPr>
      <w:r w:rsidRPr="00190C70">
        <w:rPr>
          <w:rFonts w:eastAsia="Times New Roman" w:cs="Arial"/>
          <w:b/>
          <w:sz w:val="24"/>
          <w:szCs w:val="24"/>
        </w:rPr>
        <w:t>Que,</w:t>
      </w:r>
      <w:r>
        <w:rPr>
          <w:rFonts w:eastAsia="Times New Roman" w:cs="Arial"/>
          <w:sz w:val="24"/>
          <w:szCs w:val="24"/>
        </w:rPr>
        <w:t xml:space="preserve"> e</w:t>
      </w:r>
      <w:r w:rsidR="00054777" w:rsidRPr="00190C70">
        <w:rPr>
          <w:rFonts w:eastAsia="Times New Roman" w:cs="Arial"/>
          <w:sz w:val="24"/>
          <w:szCs w:val="24"/>
        </w:rPr>
        <w:t>l artículo</w:t>
      </w:r>
      <w:r w:rsidR="00B21BA0" w:rsidRPr="00190C70">
        <w:rPr>
          <w:rFonts w:eastAsia="Times New Roman" w:cs="Arial"/>
          <w:sz w:val="24"/>
          <w:szCs w:val="24"/>
        </w:rPr>
        <w:t xml:space="preserve"> 515 del Código Orgánico de Organización Territorial, Autonomía y Descentralización indica: “Sujeto Pasivo.-Son sujetos pasivos del impuesto a los predios</w:t>
      </w:r>
      <w:r w:rsidR="001069A7" w:rsidRPr="00190C70">
        <w:rPr>
          <w:rFonts w:eastAsia="Times New Roman" w:cs="Arial"/>
          <w:sz w:val="24"/>
          <w:szCs w:val="24"/>
        </w:rPr>
        <w:t xml:space="preserve">  </w:t>
      </w:r>
      <w:r w:rsidR="00B21BA0" w:rsidRPr="00190C70">
        <w:rPr>
          <w:rFonts w:eastAsia="Times New Roman" w:cs="Arial"/>
          <w:sz w:val="24"/>
          <w:szCs w:val="24"/>
        </w:rPr>
        <w:t xml:space="preserve"> rurales,</w:t>
      </w:r>
      <w:r w:rsidR="001069A7" w:rsidRPr="00190C70">
        <w:rPr>
          <w:rFonts w:eastAsia="Times New Roman" w:cs="Arial"/>
          <w:sz w:val="24"/>
          <w:szCs w:val="24"/>
        </w:rPr>
        <w:t xml:space="preserve"> </w:t>
      </w:r>
      <w:r w:rsidR="00B21BA0" w:rsidRPr="00190C70">
        <w:rPr>
          <w:rFonts w:eastAsia="Times New Roman" w:cs="Arial"/>
          <w:sz w:val="24"/>
          <w:szCs w:val="24"/>
        </w:rPr>
        <w:t xml:space="preserve"> los</w:t>
      </w:r>
      <w:r w:rsidR="001069A7" w:rsidRPr="00190C70">
        <w:rPr>
          <w:rFonts w:eastAsia="Times New Roman" w:cs="Arial"/>
          <w:sz w:val="24"/>
          <w:szCs w:val="24"/>
        </w:rPr>
        <w:t xml:space="preserve"> </w:t>
      </w:r>
      <w:r w:rsidR="00B21BA0" w:rsidRPr="00190C70">
        <w:rPr>
          <w:rFonts w:eastAsia="Times New Roman" w:cs="Arial"/>
          <w:sz w:val="24"/>
          <w:szCs w:val="24"/>
        </w:rPr>
        <w:t xml:space="preserve"> propietarios</w:t>
      </w:r>
      <w:r w:rsidR="001069A7" w:rsidRPr="00190C70">
        <w:rPr>
          <w:rFonts w:eastAsia="Times New Roman" w:cs="Arial"/>
          <w:sz w:val="24"/>
          <w:szCs w:val="24"/>
        </w:rPr>
        <w:t xml:space="preserve"> </w:t>
      </w:r>
      <w:r w:rsidR="00B21BA0" w:rsidRPr="00190C70">
        <w:rPr>
          <w:rFonts w:eastAsia="Times New Roman" w:cs="Arial"/>
          <w:sz w:val="24"/>
          <w:szCs w:val="24"/>
        </w:rPr>
        <w:t xml:space="preserve"> o </w:t>
      </w:r>
      <w:r w:rsidR="001069A7" w:rsidRPr="00190C70">
        <w:rPr>
          <w:rFonts w:eastAsia="Times New Roman" w:cs="Arial"/>
          <w:sz w:val="24"/>
          <w:szCs w:val="24"/>
        </w:rPr>
        <w:t xml:space="preserve"> </w:t>
      </w:r>
      <w:r w:rsidR="00B21BA0" w:rsidRPr="00190C70">
        <w:rPr>
          <w:rFonts w:eastAsia="Times New Roman" w:cs="Arial"/>
          <w:sz w:val="24"/>
          <w:szCs w:val="24"/>
        </w:rPr>
        <w:t>poseedores</w:t>
      </w:r>
      <w:r w:rsidR="001069A7" w:rsidRPr="00190C70">
        <w:rPr>
          <w:rFonts w:eastAsia="Times New Roman" w:cs="Arial"/>
          <w:sz w:val="24"/>
          <w:szCs w:val="24"/>
        </w:rPr>
        <w:t xml:space="preserve"> </w:t>
      </w:r>
      <w:r w:rsidR="00B21BA0" w:rsidRPr="00190C70">
        <w:rPr>
          <w:rFonts w:eastAsia="Times New Roman" w:cs="Arial"/>
          <w:sz w:val="24"/>
          <w:szCs w:val="24"/>
        </w:rPr>
        <w:t xml:space="preserve"> de</w:t>
      </w:r>
      <w:r w:rsidR="001069A7" w:rsidRPr="00190C70">
        <w:rPr>
          <w:rFonts w:eastAsia="Times New Roman" w:cs="Arial"/>
          <w:sz w:val="24"/>
          <w:szCs w:val="24"/>
        </w:rPr>
        <w:t xml:space="preserve"> </w:t>
      </w:r>
      <w:r w:rsidR="00B21BA0" w:rsidRPr="00190C70">
        <w:rPr>
          <w:rFonts w:eastAsia="Times New Roman" w:cs="Arial"/>
          <w:sz w:val="24"/>
          <w:szCs w:val="24"/>
        </w:rPr>
        <w:t xml:space="preserve"> los </w:t>
      </w:r>
      <w:r w:rsidR="001069A7" w:rsidRPr="00190C70">
        <w:rPr>
          <w:rFonts w:eastAsia="Times New Roman" w:cs="Arial"/>
          <w:sz w:val="24"/>
          <w:szCs w:val="24"/>
        </w:rPr>
        <w:t xml:space="preserve"> </w:t>
      </w:r>
      <w:r w:rsidR="00B21BA0" w:rsidRPr="00190C70">
        <w:rPr>
          <w:rFonts w:eastAsia="Times New Roman" w:cs="Arial"/>
          <w:sz w:val="24"/>
          <w:szCs w:val="24"/>
        </w:rPr>
        <w:t>predios situados fuera de los</w:t>
      </w:r>
      <w:r w:rsidR="009F6F46" w:rsidRPr="00190C70">
        <w:rPr>
          <w:rFonts w:eastAsia="Times New Roman" w:cs="Arial"/>
          <w:sz w:val="24"/>
          <w:szCs w:val="24"/>
        </w:rPr>
        <w:t xml:space="preserve"> </w:t>
      </w:r>
      <w:r w:rsidR="00B21BA0" w:rsidRPr="00190C70">
        <w:rPr>
          <w:rFonts w:eastAsia="Times New Roman" w:cs="Arial"/>
          <w:sz w:val="24"/>
          <w:szCs w:val="24"/>
        </w:rPr>
        <w:t>límites de las zonas urbanas. Para el efecto, los elementos que integran la propiedad rural son: tierra, edificios, maquinaria agrícola, ganado y otros semovientes, plantaciones agrícolas y forestales...”;</w:t>
      </w:r>
    </w:p>
    <w:p w:rsidR="00B21BA0" w:rsidRPr="00190C70" w:rsidRDefault="00B21BA0" w:rsidP="00190C70">
      <w:pPr>
        <w:spacing w:after="0"/>
        <w:jc w:val="both"/>
        <w:rPr>
          <w:rFonts w:eastAsia="Times New Roman" w:cs="Arial"/>
          <w:sz w:val="24"/>
          <w:szCs w:val="24"/>
        </w:rPr>
      </w:pPr>
    </w:p>
    <w:p w:rsidR="00054777" w:rsidRPr="00190C70" w:rsidRDefault="00054777" w:rsidP="00190C70">
      <w:pPr>
        <w:spacing w:after="0"/>
        <w:jc w:val="both"/>
        <w:rPr>
          <w:rFonts w:eastAsia="Times New Roman" w:cs="Arial"/>
          <w:sz w:val="24"/>
          <w:szCs w:val="24"/>
        </w:rPr>
      </w:pPr>
      <w:r w:rsidRPr="00190C70">
        <w:rPr>
          <w:rFonts w:eastAsia="Times New Roman" w:cs="Arial"/>
          <w:b/>
          <w:sz w:val="24"/>
          <w:szCs w:val="24"/>
        </w:rPr>
        <w:t>Que,</w:t>
      </w:r>
      <w:r w:rsidRPr="00190C70">
        <w:rPr>
          <w:rFonts w:eastAsia="Times New Roman" w:cs="Arial"/>
          <w:sz w:val="24"/>
          <w:szCs w:val="24"/>
        </w:rPr>
        <w:t xml:space="preserve"> el artículo 517 del Código Orgánico de Organización Territorial, Autonomía y Descentralización dice: Al valor de la propiedad rural se aplicará un porcentaje que no será inferior a cero punto veinticinco</w:t>
      </w:r>
      <w:r w:rsidR="00E04F56" w:rsidRPr="00190C70">
        <w:rPr>
          <w:rFonts w:eastAsia="Times New Roman" w:cs="Arial"/>
          <w:sz w:val="24"/>
          <w:szCs w:val="24"/>
        </w:rPr>
        <w:t xml:space="preserve"> por mil (0,25x1000) ni superior al tres por mil (3x1000), que será fijado en ordenanza por cada Concejo Municipal o Metropolitano.</w:t>
      </w:r>
    </w:p>
    <w:p w:rsidR="00E04F56" w:rsidRPr="00190C70" w:rsidRDefault="00E04F56" w:rsidP="00190C70">
      <w:pPr>
        <w:spacing w:after="0"/>
        <w:jc w:val="both"/>
        <w:rPr>
          <w:rFonts w:eastAsia="Times New Roman" w:cs="Arial"/>
          <w:sz w:val="24"/>
          <w:szCs w:val="24"/>
        </w:rPr>
      </w:pPr>
    </w:p>
    <w:p w:rsidR="00B21BA0" w:rsidRPr="00190C70" w:rsidRDefault="00B21BA0" w:rsidP="00190C70">
      <w:pPr>
        <w:autoSpaceDE w:val="0"/>
        <w:spacing w:after="0"/>
        <w:jc w:val="both"/>
        <w:rPr>
          <w:rFonts w:cs="Arial"/>
          <w:sz w:val="24"/>
          <w:szCs w:val="24"/>
        </w:rPr>
      </w:pPr>
      <w:r w:rsidRPr="00190C70">
        <w:rPr>
          <w:rFonts w:cs="Arial"/>
          <w:b/>
          <w:sz w:val="24"/>
          <w:szCs w:val="24"/>
          <w:lang w:val="es-ES"/>
        </w:rPr>
        <w:t>Que,</w:t>
      </w:r>
      <w:r w:rsidRPr="00190C70">
        <w:rPr>
          <w:rFonts w:cs="Arial"/>
          <w:sz w:val="24"/>
          <w:szCs w:val="24"/>
          <w:lang w:val="es-ES"/>
        </w:rPr>
        <w:t xml:space="preserve"> el artículo 68 del Código Tributario le faculta a la Municipalidad a ejercer la  determinación de la obligación tributaria;</w:t>
      </w:r>
    </w:p>
    <w:p w:rsidR="00B21BA0" w:rsidRPr="00190C70" w:rsidRDefault="00B21BA0" w:rsidP="00190C70">
      <w:pPr>
        <w:autoSpaceDE w:val="0"/>
        <w:spacing w:after="0"/>
        <w:jc w:val="both"/>
        <w:rPr>
          <w:rFonts w:cs="Arial"/>
          <w:sz w:val="24"/>
          <w:szCs w:val="24"/>
          <w:lang w:val="es-ES"/>
        </w:rPr>
      </w:pPr>
    </w:p>
    <w:p w:rsidR="00B21BA0" w:rsidRPr="00190C70" w:rsidRDefault="00B21BA0" w:rsidP="00190C70">
      <w:pPr>
        <w:spacing w:after="0"/>
        <w:jc w:val="both"/>
        <w:rPr>
          <w:rFonts w:eastAsia="Times New Roman" w:cs="Arial"/>
          <w:sz w:val="24"/>
          <w:szCs w:val="24"/>
        </w:rPr>
      </w:pPr>
      <w:r w:rsidRPr="00190C70">
        <w:rPr>
          <w:rFonts w:cs="Arial"/>
          <w:b/>
          <w:sz w:val="24"/>
          <w:szCs w:val="24"/>
          <w:lang w:val="es-ES"/>
        </w:rPr>
        <w:t>Que,</w:t>
      </w:r>
      <w:r w:rsidRPr="00190C70">
        <w:rPr>
          <w:rFonts w:cs="Arial"/>
          <w:sz w:val="24"/>
          <w:szCs w:val="24"/>
          <w:lang w:val="es-ES"/>
        </w:rPr>
        <w:t xml:space="preserve"> los artículos 87 y 88 del Código Tributario, de la misma manera, facultan a  la Municipalidad a adoptar por disposición administrativa la modalidad para escoger cualquiera de los sistemas de determinación previstos en este Código;</w:t>
      </w:r>
    </w:p>
    <w:p w:rsidR="00B21BA0" w:rsidRPr="00190C70" w:rsidRDefault="00B21BA0" w:rsidP="00190C70">
      <w:pPr>
        <w:autoSpaceDE w:val="0"/>
        <w:spacing w:after="0"/>
        <w:jc w:val="both"/>
        <w:rPr>
          <w:rFonts w:cs="Arial"/>
          <w:color w:val="1F497D"/>
          <w:sz w:val="24"/>
          <w:szCs w:val="24"/>
          <w:lang w:val="es-ES_tradnl"/>
        </w:rPr>
      </w:pPr>
    </w:p>
    <w:p w:rsidR="00B21BA0" w:rsidRPr="00190C70" w:rsidRDefault="00B21BA0" w:rsidP="00190C70">
      <w:pPr>
        <w:autoSpaceDE w:val="0"/>
        <w:spacing w:after="0"/>
        <w:jc w:val="both"/>
        <w:rPr>
          <w:rFonts w:cs="Arial"/>
          <w:sz w:val="24"/>
          <w:szCs w:val="24"/>
          <w:lang w:val="es-ES_tradnl"/>
        </w:rPr>
      </w:pPr>
      <w:r w:rsidRPr="00190C70">
        <w:rPr>
          <w:rFonts w:cs="Arial"/>
          <w:b/>
          <w:sz w:val="24"/>
          <w:szCs w:val="24"/>
          <w:lang w:val="es-ES_tradnl"/>
        </w:rPr>
        <w:lastRenderedPageBreak/>
        <w:t>Que</w:t>
      </w:r>
      <w:r w:rsidR="009F6F46" w:rsidRPr="00190C70">
        <w:rPr>
          <w:rFonts w:cs="Arial"/>
          <w:sz w:val="24"/>
          <w:szCs w:val="24"/>
          <w:lang w:val="es-ES_tradnl"/>
        </w:rPr>
        <w:t>,</w:t>
      </w:r>
      <w:r w:rsidRPr="00190C70">
        <w:rPr>
          <w:rFonts w:cs="Arial"/>
          <w:sz w:val="24"/>
          <w:szCs w:val="24"/>
          <w:lang w:val="es-ES_tradnl"/>
        </w:rPr>
        <w:t xml:space="preserve"> en artículo 4. Ámbito.- de la Ordenanza del Plan de Regulación y Ordenamiento Territorial Urbano de Guaranda, se establece un nuevo límite urbano del Cantón San Pedro de Guaranda, razón por la que para la aplicación de esta ordenanzas se ingresarán los predios rústicos a urbanos.</w:t>
      </w:r>
    </w:p>
    <w:p w:rsidR="00B21BA0" w:rsidRPr="00190C70" w:rsidRDefault="00B21BA0" w:rsidP="00B21BA0">
      <w:pPr>
        <w:autoSpaceDE w:val="0"/>
        <w:spacing w:after="0" w:line="240" w:lineRule="auto"/>
        <w:jc w:val="both"/>
        <w:rPr>
          <w:rFonts w:cs="Arial"/>
          <w:sz w:val="24"/>
          <w:szCs w:val="24"/>
          <w:lang w:val="es-ES_tradnl"/>
        </w:rPr>
      </w:pPr>
    </w:p>
    <w:p w:rsidR="00B21BA0" w:rsidRDefault="00B21BA0" w:rsidP="001F5810">
      <w:pPr>
        <w:spacing w:after="0"/>
        <w:jc w:val="both"/>
        <w:rPr>
          <w:rFonts w:eastAsia="Times New Roman" w:cs="Arial"/>
          <w:sz w:val="24"/>
          <w:szCs w:val="24"/>
        </w:rPr>
      </w:pPr>
      <w:r w:rsidRPr="00190C70">
        <w:rPr>
          <w:rFonts w:eastAsia="Times New Roman" w:cs="Arial"/>
          <w:sz w:val="24"/>
          <w:szCs w:val="24"/>
        </w:rPr>
        <w:t xml:space="preserve">En uso de la facultad legislativa prevista en el artículo 240 de la Constitución de la República del Ecuador, Arts. 7 y Art. 57 literales a) y b) del Código Orgánico de Organización Territorial, Autonomía y Descentralización, expide la siguiente: </w:t>
      </w:r>
    </w:p>
    <w:p w:rsidR="00B21BA0" w:rsidRDefault="00B21BA0" w:rsidP="00B21BA0">
      <w:pPr>
        <w:autoSpaceDE w:val="0"/>
        <w:spacing w:after="0" w:line="240" w:lineRule="auto"/>
        <w:jc w:val="both"/>
        <w:rPr>
          <w:rFonts w:eastAsia="Times New Roman" w:cs="Arial"/>
          <w:sz w:val="24"/>
          <w:szCs w:val="24"/>
        </w:rPr>
      </w:pPr>
    </w:p>
    <w:p w:rsidR="001F5810" w:rsidRPr="00190C70" w:rsidRDefault="001F5810" w:rsidP="00B21BA0">
      <w:pPr>
        <w:autoSpaceDE w:val="0"/>
        <w:spacing w:after="0" w:line="240" w:lineRule="auto"/>
        <w:jc w:val="both"/>
        <w:rPr>
          <w:rFonts w:cs="Arial"/>
          <w:sz w:val="24"/>
          <w:szCs w:val="24"/>
        </w:rPr>
      </w:pPr>
    </w:p>
    <w:p w:rsidR="00B21BA0" w:rsidRPr="00190C70" w:rsidRDefault="00B21BA0" w:rsidP="00584C26">
      <w:pPr>
        <w:autoSpaceDE w:val="0"/>
        <w:spacing w:after="0"/>
        <w:jc w:val="center"/>
        <w:rPr>
          <w:rFonts w:cs="Arial"/>
          <w:b/>
          <w:sz w:val="24"/>
          <w:szCs w:val="24"/>
          <w:lang w:val="es-ES"/>
        </w:rPr>
      </w:pPr>
      <w:r w:rsidRPr="00190C70">
        <w:rPr>
          <w:rFonts w:cs="Arial"/>
          <w:b/>
          <w:sz w:val="24"/>
          <w:szCs w:val="24"/>
          <w:lang w:val="es-ES_tradnl"/>
        </w:rPr>
        <w:t xml:space="preserve">ORDENANZA QUE </w:t>
      </w:r>
      <w:r w:rsidRPr="00190C70">
        <w:rPr>
          <w:rFonts w:cs="Arial"/>
          <w:b/>
          <w:sz w:val="24"/>
          <w:szCs w:val="24"/>
        </w:rPr>
        <w:t>REGULA</w:t>
      </w:r>
      <w:r w:rsidRPr="00190C70">
        <w:rPr>
          <w:rFonts w:cs="Arial"/>
          <w:b/>
          <w:sz w:val="24"/>
          <w:szCs w:val="24"/>
          <w:lang w:val="es-ES"/>
        </w:rPr>
        <w:t xml:space="preserve"> LA FORMACIÓN DE LOS CATASTROS PREDIALES URBANOS Y RURALES, LA DETERMINACIÓN, ADMINISTRACIÓN Y RECAUDACIÓN DEL IMPUESTO A LOS PREDIOS URBANOS Y RURALES PARA EL BIENIO 201</w:t>
      </w:r>
      <w:r w:rsidR="0051648A" w:rsidRPr="00190C70">
        <w:rPr>
          <w:rFonts w:cs="Arial"/>
          <w:b/>
          <w:sz w:val="24"/>
          <w:szCs w:val="24"/>
          <w:lang w:val="es-ES"/>
        </w:rPr>
        <w:t>8</w:t>
      </w:r>
      <w:r w:rsidRPr="00190C70">
        <w:rPr>
          <w:rFonts w:cs="Arial"/>
          <w:b/>
          <w:sz w:val="24"/>
          <w:szCs w:val="24"/>
          <w:lang w:val="es-ES"/>
        </w:rPr>
        <w:t>-201</w:t>
      </w:r>
      <w:r w:rsidR="0051648A" w:rsidRPr="00190C70">
        <w:rPr>
          <w:rFonts w:cs="Arial"/>
          <w:b/>
          <w:sz w:val="24"/>
          <w:szCs w:val="24"/>
          <w:lang w:val="es-ES"/>
        </w:rPr>
        <w:t>9</w:t>
      </w:r>
      <w:r w:rsidRPr="00190C70">
        <w:rPr>
          <w:rFonts w:cs="Arial"/>
          <w:b/>
          <w:sz w:val="24"/>
          <w:szCs w:val="24"/>
          <w:lang w:val="es-ES"/>
        </w:rPr>
        <w:t xml:space="preserve"> DEL  CANTÓN GUARANDA</w:t>
      </w:r>
      <w:r w:rsidR="0077274E" w:rsidRPr="00190C70">
        <w:rPr>
          <w:rFonts w:cs="Arial"/>
          <w:b/>
          <w:sz w:val="24"/>
          <w:szCs w:val="24"/>
          <w:lang w:val="es-ES"/>
        </w:rPr>
        <w:t>.</w:t>
      </w:r>
    </w:p>
    <w:p w:rsidR="0077274E" w:rsidRPr="00190C70" w:rsidRDefault="0077274E" w:rsidP="0077274E">
      <w:pPr>
        <w:autoSpaceDE w:val="0"/>
        <w:spacing w:after="0" w:line="360" w:lineRule="auto"/>
        <w:jc w:val="center"/>
        <w:rPr>
          <w:rFonts w:cs="Arial"/>
          <w:b/>
          <w:sz w:val="24"/>
          <w:szCs w:val="24"/>
          <w:lang w:val="es-ES"/>
        </w:rPr>
      </w:pPr>
    </w:p>
    <w:p w:rsidR="00B21BA0" w:rsidRPr="00190C70" w:rsidRDefault="00B21BA0" w:rsidP="00B21BA0">
      <w:pPr>
        <w:autoSpaceDE w:val="0"/>
        <w:spacing w:after="0" w:line="240" w:lineRule="auto"/>
        <w:jc w:val="center"/>
        <w:rPr>
          <w:rFonts w:cs="Arial"/>
          <w:b/>
          <w:sz w:val="24"/>
          <w:szCs w:val="24"/>
          <w:lang w:val="es-ES"/>
        </w:rPr>
      </w:pPr>
      <w:r w:rsidRPr="00190C70">
        <w:rPr>
          <w:rFonts w:cs="Arial"/>
          <w:b/>
          <w:sz w:val="24"/>
          <w:szCs w:val="24"/>
          <w:lang w:val="es-ES"/>
        </w:rPr>
        <w:t>CAPITULO I</w:t>
      </w:r>
    </w:p>
    <w:p w:rsidR="0077274E" w:rsidRPr="00190C70" w:rsidRDefault="0077274E" w:rsidP="00B21BA0">
      <w:pPr>
        <w:autoSpaceDE w:val="0"/>
        <w:spacing w:after="0" w:line="240" w:lineRule="auto"/>
        <w:jc w:val="center"/>
        <w:rPr>
          <w:rFonts w:cs="Arial"/>
          <w:b/>
          <w:sz w:val="24"/>
          <w:szCs w:val="24"/>
          <w:lang w:val="es-ES"/>
        </w:rPr>
      </w:pPr>
    </w:p>
    <w:p w:rsidR="00B21BA0" w:rsidRPr="00190C70" w:rsidRDefault="00B21BA0" w:rsidP="00B21BA0">
      <w:pPr>
        <w:autoSpaceDE w:val="0"/>
        <w:spacing w:after="0" w:line="240" w:lineRule="auto"/>
        <w:jc w:val="center"/>
        <w:rPr>
          <w:rFonts w:cs="Arial"/>
          <w:b/>
          <w:sz w:val="24"/>
          <w:szCs w:val="24"/>
          <w:lang w:val="es-ES_tradnl"/>
        </w:rPr>
      </w:pPr>
      <w:r w:rsidRPr="00190C70">
        <w:rPr>
          <w:rFonts w:cs="Arial"/>
          <w:b/>
          <w:sz w:val="24"/>
          <w:szCs w:val="24"/>
          <w:lang w:val="es-ES"/>
        </w:rPr>
        <w:t>OBJETO, AMBITO DE APLICACIÓN, DEFINICIONES</w:t>
      </w:r>
    </w:p>
    <w:p w:rsidR="00B21BA0" w:rsidRPr="00190C70" w:rsidRDefault="00B21BA0" w:rsidP="00B21BA0">
      <w:pPr>
        <w:autoSpaceDE w:val="0"/>
        <w:spacing w:after="0" w:line="240" w:lineRule="auto"/>
        <w:jc w:val="both"/>
        <w:rPr>
          <w:rFonts w:cs="Arial"/>
          <w:iCs/>
          <w:sz w:val="24"/>
          <w:szCs w:val="24"/>
          <w:highlight w:val="yellow"/>
          <w:lang w:val="es-ES"/>
        </w:rPr>
      </w:pPr>
    </w:p>
    <w:p w:rsidR="00B21BA0" w:rsidRPr="00190C70" w:rsidRDefault="00B21BA0" w:rsidP="001F5810">
      <w:pPr>
        <w:autoSpaceDE w:val="0"/>
        <w:spacing w:after="0"/>
        <w:jc w:val="both"/>
        <w:rPr>
          <w:rFonts w:eastAsia="Times New Roman" w:cs="Arial"/>
          <w:bCs/>
          <w:sz w:val="24"/>
          <w:szCs w:val="24"/>
          <w:highlight w:val="yellow"/>
        </w:rPr>
      </w:pPr>
      <w:r w:rsidRPr="00190C70">
        <w:rPr>
          <w:rFonts w:cs="Arial"/>
          <w:b/>
          <w:iCs/>
          <w:sz w:val="24"/>
          <w:szCs w:val="24"/>
          <w:lang w:val="es-ES"/>
        </w:rPr>
        <w:t>Artículo</w:t>
      </w:r>
      <w:r w:rsidRPr="00190C70">
        <w:rPr>
          <w:rFonts w:cs="Arial"/>
          <w:b/>
          <w:sz w:val="24"/>
          <w:szCs w:val="24"/>
        </w:rPr>
        <w:t xml:space="preserve"> 1.- </w:t>
      </w:r>
      <w:r w:rsidRPr="00190C70">
        <w:rPr>
          <w:rFonts w:cs="Arial"/>
          <w:sz w:val="24"/>
          <w:szCs w:val="24"/>
        </w:rPr>
        <w:t>La presente Ordenanza dicta las normas jurídicas y técnicas para los procedimientos y administración de la información predial; y aprueba el modelo de valoración, plano de valor del suelo, tabla del valor de las edificaciones, valor de reposición, los factores de aumento o reducción, los parámetros para la valoración de las edificaciones y demás construcciones, la determinación del avalúo de la propiedad, tarifa impositiva e impuesto predial, de todos los predios ubicados dentro de los límites de las zonas urbanas, centros poblados y cabeceras parroquiales rurales, dete</w:t>
      </w:r>
      <w:r w:rsidR="0051648A" w:rsidRPr="00190C70">
        <w:rPr>
          <w:rFonts w:cs="Arial"/>
          <w:sz w:val="24"/>
          <w:szCs w:val="24"/>
        </w:rPr>
        <w:t>rminadas de conformidad con la L</w:t>
      </w:r>
      <w:r w:rsidRPr="00190C70">
        <w:rPr>
          <w:rFonts w:cs="Arial"/>
          <w:sz w:val="24"/>
          <w:szCs w:val="24"/>
        </w:rPr>
        <w:t>ey.</w:t>
      </w:r>
    </w:p>
    <w:p w:rsidR="00B21BA0" w:rsidRPr="00190C70" w:rsidRDefault="00B21BA0" w:rsidP="00B21BA0">
      <w:pPr>
        <w:autoSpaceDE w:val="0"/>
        <w:spacing w:after="0" w:line="240" w:lineRule="auto"/>
        <w:jc w:val="both"/>
        <w:rPr>
          <w:rFonts w:eastAsia="Times New Roman" w:cs="Arial"/>
          <w:bCs/>
          <w:sz w:val="24"/>
          <w:szCs w:val="24"/>
          <w:highlight w:val="yellow"/>
        </w:rPr>
      </w:pPr>
    </w:p>
    <w:p w:rsidR="00B21BA0" w:rsidRPr="00190C70" w:rsidRDefault="00B21BA0" w:rsidP="001F5810">
      <w:pPr>
        <w:autoSpaceDE w:val="0"/>
        <w:spacing w:after="0"/>
        <w:jc w:val="both"/>
        <w:rPr>
          <w:rFonts w:eastAsia="Times New Roman" w:cs="Arial"/>
          <w:bCs/>
          <w:sz w:val="24"/>
          <w:szCs w:val="24"/>
        </w:rPr>
      </w:pPr>
      <w:r w:rsidRPr="00190C70">
        <w:rPr>
          <w:rFonts w:cs="Arial"/>
          <w:b/>
          <w:iCs/>
          <w:sz w:val="24"/>
          <w:szCs w:val="24"/>
          <w:lang w:val="es-ES"/>
        </w:rPr>
        <w:t xml:space="preserve">Artículo 2.- AMBITO </w:t>
      </w:r>
      <w:r w:rsidRPr="00190C70">
        <w:rPr>
          <w:rFonts w:eastAsia="Times New Roman" w:cs="Arial"/>
          <w:b/>
          <w:bCs/>
          <w:sz w:val="24"/>
          <w:szCs w:val="24"/>
        </w:rPr>
        <w:t>DE APLICACION</w:t>
      </w:r>
      <w:r w:rsidRPr="00190C70">
        <w:rPr>
          <w:rFonts w:eastAsia="Times New Roman" w:cs="Arial"/>
          <w:bCs/>
          <w:sz w:val="24"/>
          <w:szCs w:val="24"/>
        </w:rPr>
        <w:t xml:space="preserve">.- </w:t>
      </w:r>
      <w:r w:rsidRPr="00190C70">
        <w:rPr>
          <w:rFonts w:cs="Arial"/>
          <w:sz w:val="24"/>
          <w:szCs w:val="24"/>
        </w:rPr>
        <w:t>La presente Ordenanza rige para las personas naturales y jurídicas, nacionales y extranjeras, que sean propietarios o posesionarios de bienes inmuebles en la jurisdicción del cantón Guaranda.</w:t>
      </w:r>
    </w:p>
    <w:p w:rsidR="00B21BA0" w:rsidRPr="00190C70" w:rsidRDefault="00B21BA0" w:rsidP="00B21BA0">
      <w:pPr>
        <w:autoSpaceDE w:val="0"/>
        <w:spacing w:after="0" w:line="240" w:lineRule="auto"/>
        <w:jc w:val="both"/>
        <w:rPr>
          <w:rFonts w:cs="Arial"/>
          <w:b/>
          <w:iCs/>
          <w:sz w:val="24"/>
          <w:szCs w:val="24"/>
          <w:lang w:val="es-ES"/>
        </w:rPr>
      </w:pPr>
    </w:p>
    <w:p w:rsidR="00B21BA0" w:rsidRPr="00190C70" w:rsidRDefault="00B21BA0" w:rsidP="001F5810">
      <w:pPr>
        <w:autoSpaceDE w:val="0"/>
        <w:spacing w:after="0"/>
        <w:jc w:val="both"/>
        <w:rPr>
          <w:rFonts w:cs="Arial"/>
          <w:sz w:val="24"/>
          <w:szCs w:val="24"/>
        </w:rPr>
      </w:pPr>
      <w:r w:rsidRPr="00190C70">
        <w:rPr>
          <w:rFonts w:cs="Arial"/>
          <w:b/>
          <w:iCs/>
          <w:sz w:val="24"/>
          <w:szCs w:val="24"/>
          <w:lang w:val="es-ES"/>
        </w:rPr>
        <w:lastRenderedPageBreak/>
        <w:t xml:space="preserve">Artículo 3.- </w:t>
      </w:r>
      <w:r w:rsidRPr="00190C70">
        <w:rPr>
          <w:rFonts w:eastAsia="Times New Roman" w:cs="Arial"/>
          <w:b/>
          <w:bCs/>
          <w:sz w:val="24"/>
          <w:szCs w:val="24"/>
        </w:rPr>
        <w:t>DE LOS BIENES NACIONALES</w:t>
      </w:r>
      <w:r w:rsidRPr="00190C70">
        <w:rPr>
          <w:rFonts w:eastAsia="Times New Roman" w:cs="Arial"/>
          <w:bCs/>
          <w:sz w:val="24"/>
          <w:szCs w:val="24"/>
        </w:rPr>
        <w:t xml:space="preserve">.- </w:t>
      </w:r>
      <w:r w:rsidRPr="00190C70">
        <w:rPr>
          <w:rFonts w:cs="Arial"/>
          <w:sz w:val="24"/>
          <w:szCs w:val="24"/>
        </w:rPr>
        <w:t>Se llaman bienes nacionales aquellos cuyo dominio pertenece a la Nación toda. Su uso pertenece a todos los habitantes de la Nación, como el de calles, plazas, puentes y caminos, el mar adyacente y sus playas, se llaman bienes nacionales de uso público o bienes públicos. Así mismo, los nevados perpetuos y las zonas de territorio situadas a más de 4.500 metros de altura sobre el nivel del mar.</w:t>
      </w:r>
    </w:p>
    <w:p w:rsidR="00B21BA0" w:rsidRPr="00190C70" w:rsidRDefault="00B21BA0" w:rsidP="00B21BA0">
      <w:pPr>
        <w:autoSpaceDE w:val="0"/>
        <w:spacing w:after="0" w:line="240" w:lineRule="auto"/>
        <w:jc w:val="both"/>
        <w:rPr>
          <w:rFonts w:cs="Arial"/>
          <w:sz w:val="24"/>
          <w:szCs w:val="24"/>
        </w:rPr>
      </w:pPr>
    </w:p>
    <w:p w:rsidR="00B21BA0" w:rsidRPr="00190C70" w:rsidRDefault="00B21BA0" w:rsidP="001F5810">
      <w:pPr>
        <w:shd w:val="clear" w:color="auto" w:fill="FFFFFF"/>
        <w:spacing w:after="0"/>
        <w:ind w:right="14"/>
        <w:jc w:val="both"/>
        <w:rPr>
          <w:rFonts w:cs="Arial"/>
          <w:sz w:val="24"/>
          <w:szCs w:val="24"/>
        </w:rPr>
      </w:pPr>
      <w:r w:rsidRPr="00190C70">
        <w:rPr>
          <w:rFonts w:cs="Arial"/>
          <w:b/>
          <w:iCs/>
          <w:sz w:val="24"/>
          <w:szCs w:val="24"/>
          <w:lang w:val="es-ES"/>
        </w:rPr>
        <w:t>Artículo</w:t>
      </w:r>
      <w:r w:rsidRPr="00190C70">
        <w:rPr>
          <w:rFonts w:cs="Arial"/>
          <w:b/>
          <w:sz w:val="24"/>
          <w:szCs w:val="24"/>
        </w:rPr>
        <w:t xml:space="preserve"> 4.- </w:t>
      </w:r>
      <w:r w:rsidRPr="00190C70">
        <w:rPr>
          <w:rFonts w:cs="Arial"/>
          <w:b/>
          <w:sz w:val="24"/>
          <w:szCs w:val="24"/>
          <w:lang w:val="es-ES_tradnl"/>
        </w:rPr>
        <w:t>CLASES DE BIENES.-</w:t>
      </w:r>
      <w:r w:rsidRPr="00190C70">
        <w:rPr>
          <w:rFonts w:cs="Arial"/>
          <w:sz w:val="24"/>
          <w:szCs w:val="24"/>
          <w:lang w:val="es-ES_tradnl"/>
        </w:rPr>
        <w:t xml:space="preserve"> Son bienes de los gobiernos autónomos descentralizados, aquellos sobre los cuales, se ejerce dominio.</w:t>
      </w:r>
      <w:r w:rsidRPr="00190C70">
        <w:rPr>
          <w:rFonts w:cs="Arial"/>
          <w:sz w:val="24"/>
          <w:szCs w:val="24"/>
        </w:rPr>
        <w:t xml:space="preserve"> </w:t>
      </w:r>
      <w:r w:rsidRPr="00190C70">
        <w:rPr>
          <w:rFonts w:cs="Arial"/>
          <w:sz w:val="24"/>
          <w:szCs w:val="24"/>
          <w:lang w:val="es-ES_tradnl"/>
        </w:rPr>
        <w:t>Los bienes se dividen en bienes del dominio privado y bienes del dominio público. Estos últimos se subdividen, a su vez, en bienes de uso público y bienes afectados al servicio público.</w:t>
      </w:r>
    </w:p>
    <w:p w:rsidR="00B21BA0" w:rsidRPr="00190C70" w:rsidRDefault="00B21BA0" w:rsidP="00B21BA0">
      <w:pPr>
        <w:autoSpaceDE w:val="0"/>
        <w:spacing w:after="0" w:line="240" w:lineRule="auto"/>
        <w:jc w:val="both"/>
        <w:rPr>
          <w:rFonts w:cs="Arial"/>
          <w:b/>
          <w:i/>
          <w:iCs/>
          <w:sz w:val="24"/>
          <w:szCs w:val="24"/>
          <w:lang w:val="es-ES"/>
        </w:rPr>
      </w:pPr>
    </w:p>
    <w:p w:rsidR="00B21BA0" w:rsidRPr="00190C70" w:rsidRDefault="00B21BA0" w:rsidP="001F5810">
      <w:pPr>
        <w:autoSpaceDE w:val="0"/>
        <w:spacing w:after="0"/>
        <w:jc w:val="both"/>
        <w:rPr>
          <w:rFonts w:cs="Arial"/>
          <w:sz w:val="24"/>
          <w:szCs w:val="24"/>
        </w:rPr>
      </w:pPr>
      <w:r w:rsidRPr="00190C70">
        <w:rPr>
          <w:rFonts w:cs="Arial"/>
          <w:b/>
          <w:iCs/>
          <w:sz w:val="24"/>
          <w:szCs w:val="24"/>
          <w:lang w:val="es-ES"/>
        </w:rPr>
        <w:t>Artículo 5.- DEL CATASTRO.-</w:t>
      </w:r>
      <w:r w:rsidRPr="00190C70">
        <w:rPr>
          <w:rFonts w:cs="Arial"/>
          <w:sz w:val="24"/>
          <w:szCs w:val="24"/>
        </w:rPr>
        <w:t xml:space="preserve"> Catastro es “el inventario o censo, debidamente actualizado y clasificado, de los bienes inmuebles pertenecientes al Estado y a los particulares, con el objeto de lograr su correcta identificación física, jurídica, fiscal y económica”. </w:t>
      </w:r>
    </w:p>
    <w:p w:rsidR="0077274E" w:rsidRPr="00190C70" w:rsidRDefault="0077274E" w:rsidP="00B21BA0">
      <w:pPr>
        <w:autoSpaceDE w:val="0"/>
        <w:spacing w:after="0" w:line="240" w:lineRule="auto"/>
        <w:jc w:val="both"/>
        <w:rPr>
          <w:rFonts w:cs="Arial"/>
          <w:sz w:val="24"/>
          <w:szCs w:val="24"/>
        </w:rPr>
      </w:pPr>
    </w:p>
    <w:p w:rsidR="00B21BA0" w:rsidRPr="00190C70" w:rsidRDefault="00B21BA0" w:rsidP="001F5810">
      <w:pPr>
        <w:autoSpaceDE w:val="0"/>
        <w:spacing w:after="0"/>
        <w:jc w:val="both"/>
        <w:rPr>
          <w:rFonts w:cs="Arial"/>
          <w:sz w:val="24"/>
          <w:szCs w:val="24"/>
        </w:rPr>
      </w:pPr>
      <w:r w:rsidRPr="00190C70">
        <w:rPr>
          <w:rFonts w:cs="Arial"/>
          <w:b/>
          <w:iCs/>
          <w:sz w:val="24"/>
          <w:szCs w:val="24"/>
          <w:lang w:val="es-ES"/>
        </w:rPr>
        <w:t>Artículo</w:t>
      </w:r>
      <w:r w:rsidRPr="00190C70">
        <w:rPr>
          <w:rFonts w:cs="Arial"/>
          <w:b/>
          <w:sz w:val="24"/>
          <w:szCs w:val="24"/>
          <w:lang w:val="es-ES"/>
        </w:rPr>
        <w:t xml:space="preserve"> 6.- FORMACIÓN DEL CATASTRO.</w:t>
      </w:r>
      <w:r w:rsidRPr="00190C70">
        <w:rPr>
          <w:rFonts w:cs="Arial"/>
          <w:sz w:val="24"/>
          <w:szCs w:val="24"/>
          <w:lang w:val="es-ES"/>
        </w:rPr>
        <w:t xml:space="preserve">- </w:t>
      </w:r>
      <w:r w:rsidRPr="00190C70">
        <w:rPr>
          <w:rFonts w:cs="Arial"/>
          <w:bCs/>
          <w:sz w:val="24"/>
          <w:szCs w:val="24"/>
        </w:rPr>
        <w:t>El</w:t>
      </w:r>
      <w:r w:rsidRPr="00190C70">
        <w:rPr>
          <w:rFonts w:cs="Arial"/>
          <w:sz w:val="24"/>
          <w:szCs w:val="24"/>
        </w:rPr>
        <w:t xml:space="preserve"> objeto de la presente ordenanza es regular; la formación, organización, funcionamiento, desarrollo y conservación del Catastro inmobiliario urbano y ru</w:t>
      </w:r>
      <w:r w:rsidR="0077274E" w:rsidRPr="00190C70">
        <w:rPr>
          <w:rFonts w:cs="Arial"/>
          <w:sz w:val="24"/>
          <w:szCs w:val="24"/>
        </w:rPr>
        <w:t>ral en el Territorio del Cantón Guaranda</w:t>
      </w:r>
      <w:r w:rsidR="00C017BF" w:rsidRPr="00190C70">
        <w:rPr>
          <w:rFonts w:cs="Arial"/>
          <w:sz w:val="24"/>
          <w:szCs w:val="24"/>
        </w:rPr>
        <w:t>.</w:t>
      </w:r>
    </w:p>
    <w:p w:rsidR="00B21BA0" w:rsidRPr="00190C70" w:rsidRDefault="00B21BA0" w:rsidP="00B21BA0">
      <w:pPr>
        <w:autoSpaceDE w:val="0"/>
        <w:spacing w:after="0" w:line="240" w:lineRule="auto"/>
        <w:jc w:val="both"/>
        <w:rPr>
          <w:rFonts w:cs="Arial"/>
          <w:sz w:val="24"/>
          <w:szCs w:val="24"/>
        </w:rPr>
      </w:pPr>
    </w:p>
    <w:p w:rsidR="00B21BA0" w:rsidRPr="00190C70" w:rsidRDefault="00B21BA0" w:rsidP="001F5810">
      <w:pPr>
        <w:autoSpaceDE w:val="0"/>
        <w:spacing w:after="0"/>
        <w:jc w:val="both"/>
        <w:rPr>
          <w:rFonts w:cs="Arial"/>
          <w:sz w:val="24"/>
          <w:szCs w:val="24"/>
          <w:lang w:val="es-ES"/>
        </w:rPr>
      </w:pPr>
      <w:r w:rsidRPr="00190C70">
        <w:rPr>
          <w:rFonts w:cs="Arial"/>
          <w:sz w:val="24"/>
          <w:szCs w:val="24"/>
          <w:lang w:val="es-ES"/>
        </w:rPr>
        <w:t xml:space="preserve">El Sistema </w:t>
      </w:r>
      <w:r w:rsidR="0077274E" w:rsidRPr="00190C70">
        <w:rPr>
          <w:rFonts w:cs="Arial"/>
          <w:sz w:val="24"/>
          <w:szCs w:val="24"/>
          <w:lang w:val="es-ES"/>
        </w:rPr>
        <w:t xml:space="preserve">de </w:t>
      </w:r>
      <w:r w:rsidRPr="00190C70">
        <w:rPr>
          <w:rFonts w:cs="Arial"/>
          <w:sz w:val="24"/>
          <w:szCs w:val="24"/>
          <w:lang w:val="es-ES"/>
        </w:rPr>
        <w:t>Catastro Predial Urbano y Rural en los Municipios del país, comprende; el inventario de la información catastral, la determinación del valor de la propiedad, la estructuración de procesos automatizados de la información catastral, y la administración en el uso de la información de la propiedad, en la actualización y mantenimiento de la información catastral, del valor de la propiedad y de todos sus elementos, controles y seguimiento técnico de los productos ejecutados.</w:t>
      </w:r>
    </w:p>
    <w:p w:rsidR="00B21BA0" w:rsidRPr="00190C70" w:rsidRDefault="00B21BA0" w:rsidP="00B21BA0">
      <w:pPr>
        <w:autoSpaceDE w:val="0"/>
        <w:spacing w:after="0" w:line="240" w:lineRule="auto"/>
        <w:jc w:val="both"/>
        <w:rPr>
          <w:rFonts w:cs="Arial"/>
          <w:sz w:val="24"/>
          <w:szCs w:val="24"/>
          <w:lang w:val="es-ES"/>
        </w:rPr>
      </w:pPr>
    </w:p>
    <w:p w:rsidR="00B21BA0" w:rsidRDefault="00B21BA0" w:rsidP="00584C26">
      <w:pPr>
        <w:autoSpaceDE w:val="0"/>
        <w:spacing w:after="0"/>
        <w:jc w:val="both"/>
        <w:rPr>
          <w:rFonts w:cs="Arial"/>
          <w:sz w:val="24"/>
          <w:szCs w:val="24"/>
          <w:lang w:val="es-ES"/>
        </w:rPr>
      </w:pPr>
      <w:r w:rsidRPr="00190C70">
        <w:rPr>
          <w:rFonts w:cs="Arial"/>
          <w:b/>
          <w:iCs/>
          <w:sz w:val="24"/>
          <w:szCs w:val="24"/>
          <w:lang w:val="es-ES"/>
        </w:rPr>
        <w:t xml:space="preserve">Artículo 7.- </w:t>
      </w:r>
      <w:r w:rsidRPr="00190C70">
        <w:rPr>
          <w:rFonts w:cs="Arial"/>
          <w:b/>
          <w:sz w:val="24"/>
          <w:szCs w:val="24"/>
          <w:lang w:val="es-ES"/>
        </w:rPr>
        <w:t xml:space="preserve">DE LA PROPIEDAD.- </w:t>
      </w:r>
      <w:r w:rsidRPr="00190C70">
        <w:rPr>
          <w:rFonts w:cs="Arial"/>
          <w:sz w:val="24"/>
          <w:szCs w:val="24"/>
          <w:lang w:val="es-ES"/>
        </w:rPr>
        <w:t>Es</w:t>
      </w:r>
      <w:r w:rsidRPr="00190C70">
        <w:rPr>
          <w:rFonts w:cs="Arial"/>
          <w:b/>
          <w:sz w:val="24"/>
          <w:szCs w:val="24"/>
          <w:lang w:val="es-ES"/>
        </w:rPr>
        <w:t xml:space="preserve"> </w:t>
      </w:r>
      <w:r w:rsidRPr="00190C70">
        <w:rPr>
          <w:rFonts w:cs="Arial"/>
          <w:sz w:val="24"/>
          <w:szCs w:val="24"/>
        </w:rPr>
        <w:t xml:space="preserve">el derecho  real  en  una  cosa  corporal, </w:t>
      </w:r>
      <w:r w:rsidRPr="00190C70">
        <w:rPr>
          <w:rFonts w:cs="Arial"/>
          <w:sz w:val="24"/>
          <w:szCs w:val="24"/>
          <w:lang w:val="es-ES"/>
        </w:rPr>
        <w:t>para gozar y disponer de ella.</w:t>
      </w:r>
    </w:p>
    <w:p w:rsidR="00584C26" w:rsidRPr="00190C70" w:rsidRDefault="00584C26" w:rsidP="00584C26">
      <w:pPr>
        <w:autoSpaceDE w:val="0"/>
        <w:spacing w:after="0" w:line="240" w:lineRule="auto"/>
        <w:jc w:val="both"/>
        <w:rPr>
          <w:rFonts w:cs="Arial"/>
          <w:sz w:val="24"/>
          <w:szCs w:val="24"/>
          <w:lang w:val="es-ES"/>
        </w:rPr>
      </w:pPr>
    </w:p>
    <w:p w:rsidR="00B21BA0" w:rsidRDefault="00B21BA0" w:rsidP="00B21BA0">
      <w:pPr>
        <w:spacing w:line="240" w:lineRule="auto"/>
        <w:jc w:val="both"/>
        <w:rPr>
          <w:rFonts w:cs="Arial"/>
          <w:sz w:val="24"/>
          <w:szCs w:val="24"/>
          <w:lang w:val="es-ES"/>
        </w:rPr>
      </w:pPr>
      <w:r w:rsidRPr="00190C70">
        <w:rPr>
          <w:rFonts w:cs="Arial"/>
          <w:sz w:val="24"/>
          <w:szCs w:val="24"/>
          <w:lang w:val="es-ES"/>
        </w:rPr>
        <w:t>La  propiedad separada del goce de la cosa, se llama mera o nuda propiedad.</w:t>
      </w:r>
    </w:p>
    <w:p w:rsidR="001F5810" w:rsidRPr="00190C70" w:rsidRDefault="001F5810" w:rsidP="00B21BA0">
      <w:pPr>
        <w:spacing w:line="240" w:lineRule="auto"/>
        <w:jc w:val="both"/>
        <w:rPr>
          <w:rFonts w:cs="Arial"/>
          <w:sz w:val="24"/>
          <w:szCs w:val="24"/>
          <w:lang w:val="es-ES"/>
        </w:rPr>
      </w:pPr>
    </w:p>
    <w:p w:rsidR="00B21BA0" w:rsidRPr="00190C70" w:rsidRDefault="00B21BA0" w:rsidP="001F5810">
      <w:pPr>
        <w:jc w:val="both"/>
        <w:rPr>
          <w:rFonts w:cs="Arial"/>
          <w:sz w:val="24"/>
          <w:szCs w:val="24"/>
          <w:lang w:val="es-ES"/>
        </w:rPr>
      </w:pPr>
      <w:r w:rsidRPr="00190C70">
        <w:rPr>
          <w:rFonts w:cs="Arial"/>
          <w:sz w:val="24"/>
          <w:szCs w:val="24"/>
          <w:lang w:val="es-ES"/>
        </w:rPr>
        <w:lastRenderedPageBreak/>
        <w:t>Posee aquél que de hecho actúa como titular de un derecho o atributo en el sentido de que, sea o no sea el verdadero titular.</w:t>
      </w:r>
    </w:p>
    <w:p w:rsidR="00B21BA0" w:rsidRPr="00190C70" w:rsidRDefault="00B21BA0" w:rsidP="001F5810">
      <w:pPr>
        <w:autoSpaceDE w:val="0"/>
        <w:spacing w:after="0"/>
        <w:jc w:val="both"/>
        <w:rPr>
          <w:rFonts w:cs="Arial"/>
          <w:sz w:val="24"/>
          <w:szCs w:val="24"/>
          <w:lang w:val="es-ES"/>
        </w:rPr>
      </w:pPr>
      <w:r w:rsidRPr="00190C70">
        <w:rPr>
          <w:rFonts w:cs="Arial"/>
          <w:sz w:val="24"/>
          <w:szCs w:val="24"/>
          <w:lang w:val="es-ES"/>
        </w:rPr>
        <w:t xml:space="preserve">La posesión no implica la titularidad del derecho de propiedad ni de ninguno de los derechos reales.            </w:t>
      </w:r>
    </w:p>
    <w:p w:rsidR="00B21BA0" w:rsidRPr="00190C70" w:rsidRDefault="00B21BA0" w:rsidP="00B21BA0">
      <w:pPr>
        <w:autoSpaceDE w:val="0"/>
        <w:spacing w:after="0" w:line="240" w:lineRule="auto"/>
        <w:jc w:val="both"/>
        <w:rPr>
          <w:rFonts w:cs="Arial"/>
          <w:sz w:val="24"/>
          <w:szCs w:val="24"/>
        </w:rPr>
      </w:pPr>
    </w:p>
    <w:p w:rsidR="00B21BA0" w:rsidRPr="00190C70" w:rsidRDefault="00B21BA0" w:rsidP="007858B3">
      <w:pPr>
        <w:autoSpaceDE w:val="0"/>
        <w:spacing w:after="0" w:line="240" w:lineRule="auto"/>
        <w:jc w:val="both"/>
        <w:rPr>
          <w:rFonts w:cs="Arial"/>
          <w:iCs/>
          <w:sz w:val="24"/>
          <w:szCs w:val="24"/>
          <w:lang w:val="es-ES"/>
        </w:rPr>
      </w:pPr>
      <w:r w:rsidRPr="00190C70">
        <w:rPr>
          <w:rFonts w:cs="Arial"/>
          <w:b/>
          <w:iCs/>
          <w:sz w:val="24"/>
          <w:szCs w:val="24"/>
          <w:lang w:val="es-ES"/>
        </w:rPr>
        <w:t xml:space="preserve">Artículo 8.- </w:t>
      </w:r>
      <w:r w:rsidRPr="00190C70">
        <w:rPr>
          <w:rFonts w:cs="Arial"/>
          <w:b/>
          <w:sz w:val="24"/>
          <w:szCs w:val="24"/>
          <w:lang w:val="es-ES"/>
        </w:rPr>
        <w:t>JURISDICCION TERRITORIAL</w:t>
      </w:r>
      <w:r w:rsidRPr="00190C70">
        <w:rPr>
          <w:rFonts w:cs="Arial"/>
          <w:b/>
          <w:iCs/>
          <w:sz w:val="24"/>
          <w:szCs w:val="24"/>
          <w:lang w:val="es-ES"/>
        </w:rPr>
        <w:t xml:space="preserve">.- </w:t>
      </w:r>
      <w:r w:rsidRPr="00190C70">
        <w:rPr>
          <w:rFonts w:cs="Arial"/>
          <w:iCs/>
          <w:sz w:val="24"/>
          <w:szCs w:val="24"/>
          <w:lang w:val="es-ES"/>
        </w:rPr>
        <w:t xml:space="preserve">para la administración del catastro se establecen dos procesos de intervención: </w:t>
      </w:r>
    </w:p>
    <w:p w:rsidR="00B21BA0" w:rsidRPr="00190C70" w:rsidRDefault="00B21BA0" w:rsidP="007858B3">
      <w:pPr>
        <w:autoSpaceDE w:val="0"/>
        <w:spacing w:after="0" w:line="240" w:lineRule="auto"/>
        <w:jc w:val="both"/>
        <w:rPr>
          <w:rFonts w:cs="Arial"/>
          <w:sz w:val="24"/>
          <w:szCs w:val="24"/>
          <w:lang w:val="es-ES"/>
        </w:rPr>
      </w:pPr>
    </w:p>
    <w:p w:rsidR="00B21BA0" w:rsidRPr="00190C70" w:rsidRDefault="00B21BA0" w:rsidP="007858B3">
      <w:pPr>
        <w:pStyle w:val="Prrafodelista"/>
        <w:numPr>
          <w:ilvl w:val="0"/>
          <w:numId w:val="18"/>
        </w:numPr>
        <w:autoSpaceDE w:val="0"/>
        <w:spacing w:after="0" w:line="240" w:lineRule="auto"/>
        <w:ind w:left="426"/>
        <w:jc w:val="both"/>
        <w:rPr>
          <w:rFonts w:cs="Arial"/>
          <w:b/>
          <w:sz w:val="24"/>
          <w:szCs w:val="24"/>
          <w:lang w:val="es-ES"/>
        </w:rPr>
      </w:pPr>
      <w:r w:rsidRPr="00190C70">
        <w:rPr>
          <w:rFonts w:cs="Arial"/>
          <w:b/>
          <w:sz w:val="24"/>
          <w:szCs w:val="24"/>
          <w:lang w:val="es-ES"/>
        </w:rPr>
        <w:t>CODIFICACION CATASTRAL:</w:t>
      </w:r>
    </w:p>
    <w:p w:rsidR="00B21BA0" w:rsidRPr="00190C70" w:rsidRDefault="00B21BA0" w:rsidP="007858B3">
      <w:pPr>
        <w:autoSpaceDE w:val="0"/>
        <w:spacing w:after="0" w:line="240" w:lineRule="auto"/>
        <w:ind w:left="426"/>
        <w:jc w:val="both"/>
        <w:rPr>
          <w:rFonts w:cs="Arial"/>
          <w:spacing w:val="-3"/>
          <w:sz w:val="24"/>
          <w:szCs w:val="24"/>
        </w:rPr>
      </w:pPr>
    </w:p>
    <w:p w:rsidR="00B21BA0" w:rsidRPr="00190C70" w:rsidRDefault="00B21BA0" w:rsidP="007858B3">
      <w:pPr>
        <w:autoSpaceDE w:val="0"/>
        <w:spacing w:after="0"/>
        <w:jc w:val="both"/>
        <w:rPr>
          <w:rFonts w:cs="Arial"/>
          <w:sz w:val="24"/>
          <w:szCs w:val="24"/>
        </w:rPr>
      </w:pPr>
      <w:r w:rsidRPr="00190C70">
        <w:rPr>
          <w:rFonts w:cs="Arial"/>
          <w:sz w:val="24"/>
          <w:szCs w:val="24"/>
        </w:rPr>
        <w:t xml:space="preserve">La localización del predio en el territorio está relacionado con el código de división política administrativa de la República del Ecuador INEC, compuesto por seis dígitos numéricos, de los cuales dos son para la identificación PROVINCIAL; dos para la identificación CANTONAL y dos para la identificación PARROQUIAL URBANA y RURAL, las parroquias urbanas que configuran por si la cabecera cantonal, el código establecido es el 50, si la cabecera cantonal está constituida por varias parroquias urbanas, la codificación de las parroquias va desde </w:t>
      </w:r>
      <w:smartTag w:uri="urn:schemas-microsoft-com:office:smarttags" w:element="metricconverter">
        <w:smartTagPr>
          <w:attr w:name="ProductID" w:val="01 a"/>
        </w:smartTagPr>
        <w:r w:rsidRPr="00190C70">
          <w:rPr>
            <w:rFonts w:cs="Arial"/>
            <w:sz w:val="24"/>
            <w:szCs w:val="24"/>
          </w:rPr>
          <w:t>01 a</w:t>
        </w:r>
      </w:smartTag>
      <w:r w:rsidRPr="00190C70">
        <w:rPr>
          <w:rFonts w:cs="Arial"/>
          <w:sz w:val="24"/>
          <w:szCs w:val="24"/>
        </w:rPr>
        <w:t xml:space="preserve"> 49 y la codificación de las parroquias rurales va desde </w:t>
      </w:r>
      <w:smartTag w:uri="urn:schemas-microsoft-com:office:smarttags" w:element="metricconverter">
        <w:smartTagPr>
          <w:attr w:name="ProductID" w:val="51 a"/>
        </w:smartTagPr>
        <w:r w:rsidRPr="00190C70">
          <w:rPr>
            <w:rFonts w:cs="Arial"/>
            <w:sz w:val="24"/>
            <w:szCs w:val="24"/>
          </w:rPr>
          <w:t>51 a</w:t>
        </w:r>
      </w:smartTag>
      <w:r w:rsidRPr="00190C70">
        <w:rPr>
          <w:rFonts w:cs="Arial"/>
          <w:sz w:val="24"/>
          <w:szCs w:val="24"/>
        </w:rPr>
        <w:t xml:space="preserve"> 99.</w:t>
      </w:r>
    </w:p>
    <w:p w:rsidR="00B21BA0" w:rsidRPr="00190C70" w:rsidRDefault="00B21BA0" w:rsidP="00B21BA0">
      <w:pPr>
        <w:autoSpaceDE w:val="0"/>
        <w:spacing w:after="0" w:line="240" w:lineRule="auto"/>
        <w:jc w:val="both"/>
        <w:rPr>
          <w:rFonts w:cs="Arial"/>
          <w:spacing w:val="-3"/>
          <w:sz w:val="24"/>
          <w:szCs w:val="24"/>
        </w:rPr>
      </w:pPr>
    </w:p>
    <w:p w:rsidR="00B21BA0" w:rsidRPr="00190C70" w:rsidRDefault="00B21BA0" w:rsidP="007858B3">
      <w:pPr>
        <w:autoSpaceDE w:val="0"/>
        <w:spacing w:after="0"/>
        <w:jc w:val="both"/>
        <w:rPr>
          <w:rFonts w:cs="Arial"/>
          <w:sz w:val="24"/>
          <w:szCs w:val="24"/>
        </w:rPr>
      </w:pPr>
      <w:r w:rsidRPr="00190C70">
        <w:rPr>
          <w:rFonts w:cs="Arial"/>
          <w:sz w:val="24"/>
          <w:szCs w:val="24"/>
        </w:rPr>
        <w:t xml:space="preserve">En el caso de que un territorio que corresponde a la cabecera cantonal, se compone de una o varias parroquia (s) urbana (s), en el caso de la primera, en esta  se ha definido el límite urbano con el área menor al total de la superficie de la parroquia urbana o cabecera cantonal, significa que esa parroquia o cabecera cantonal tiene tanto área urbana como área rural, por lo que la codificación para el catastro urbano en lo correspondiente a ZONA, será a partir de 01, y del territorio restante que no es urbano, tendrá el código de rural a partir de 51. </w:t>
      </w:r>
    </w:p>
    <w:p w:rsidR="00B21BA0" w:rsidRPr="00190C70" w:rsidRDefault="00B21BA0" w:rsidP="00B21BA0">
      <w:pPr>
        <w:autoSpaceDE w:val="0"/>
        <w:spacing w:after="0" w:line="240" w:lineRule="auto"/>
        <w:jc w:val="both"/>
        <w:rPr>
          <w:rFonts w:cs="Arial"/>
          <w:sz w:val="24"/>
          <w:szCs w:val="24"/>
        </w:rPr>
      </w:pPr>
    </w:p>
    <w:p w:rsidR="007858B3" w:rsidRDefault="00B21BA0" w:rsidP="007858B3">
      <w:pPr>
        <w:autoSpaceDE w:val="0"/>
        <w:spacing w:after="0"/>
        <w:jc w:val="both"/>
        <w:rPr>
          <w:rFonts w:cs="Arial"/>
          <w:sz w:val="24"/>
          <w:szCs w:val="24"/>
        </w:rPr>
      </w:pPr>
      <w:r w:rsidRPr="00190C70">
        <w:rPr>
          <w:rFonts w:cs="Arial"/>
          <w:sz w:val="24"/>
          <w:szCs w:val="24"/>
        </w:rPr>
        <w:t xml:space="preserve">Si la cabecera cantonal está conformada por varias parroquias urbanas, y el área urbana se encuentra constituida en parte o en el todo de cada parroquia urbana, en las parroquias urbanas en las que el área urbana cubre todo el territorio de la parroquia, todo el territorio de la parroquia será urbano, </w:t>
      </w:r>
      <w:r w:rsidR="007858B3">
        <w:rPr>
          <w:rFonts w:cs="Arial"/>
          <w:sz w:val="24"/>
          <w:szCs w:val="24"/>
        </w:rPr>
        <w:t xml:space="preserve"> </w:t>
      </w:r>
      <w:r w:rsidRPr="00190C70">
        <w:rPr>
          <w:rFonts w:cs="Arial"/>
          <w:sz w:val="24"/>
          <w:szCs w:val="24"/>
        </w:rPr>
        <w:t>su código</w:t>
      </w:r>
      <w:r w:rsidR="007858B3">
        <w:rPr>
          <w:rFonts w:cs="Arial"/>
          <w:sz w:val="24"/>
          <w:szCs w:val="24"/>
        </w:rPr>
        <w:t xml:space="preserve"> </w:t>
      </w:r>
      <w:r w:rsidRPr="00190C70">
        <w:rPr>
          <w:rFonts w:cs="Arial"/>
          <w:sz w:val="24"/>
          <w:szCs w:val="24"/>
        </w:rPr>
        <w:t xml:space="preserve"> de zona será de a partir de 01, si en el</w:t>
      </w:r>
    </w:p>
    <w:p w:rsidR="007858B3" w:rsidRDefault="007858B3" w:rsidP="007858B3">
      <w:pPr>
        <w:autoSpaceDE w:val="0"/>
        <w:spacing w:after="0"/>
        <w:jc w:val="both"/>
        <w:rPr>
          <w:rFonts w:cs="Arial"/>
          <w:sz w:val="24"/>
          <w:szCs w:val="24"/>
        </w:rPr>
      </w:pPr>
    </w:p>
    <w:p w:rsidR="00B21BA0" w:rsidRPr="00190C70" w:rsidRDefault="00B21BA0" w:rsidP="007858B3">
      <w:pPr>
        <w:autoSpaceDE w:val="0"/>
        <w:spacing w:after="0"/>
        <w:jc w:val="both"/>
        <w:rPr>
          <w:rFonts w:cs="Arial"/>
          <w:sz w:val="24"/>
          <w:szCs w:val="24"/>
        </w:rPr>
      </w:pPr>
      <w:proofErr w:type="gramStart"/>
      <w:r w:rsidRPr="00190C70">
        <w:rPr>
          <w:rFonts w:cs="Arial"/>
          <w:sz w:val="24"/>
          <w:szCs w:val="24"/>
        </w:rPr>
        <w:lastRenderedPageBreak/>
        <w:t>territorio</w:t>
      </w:r>
      <w:proofErr w:type="gramEnd"/>
      <w:r w:rsidRPr="00190C70">
        <w:rPr>
          <w:rFonts w:cs="Arial"/>
          <w:sz w:val="24"/>
          <w:szCs w:val="24"/>
        </w:rPr>
        <w:t xml:space="preserve"> de cada parroquia existe definida área urbana y área rural, la codificación para el inventario catastral en lo urbano, el código de zona será a partir del 01. En el territorio</w:t>
      </w:r>
      <w:r w:rsidR="007858B3">
        <w:rPr>
          <w:rFonts w:cs="Arial"/>
          <w:sz w:val="24"/>
          <w:szCs w:val="24"/>
        </w:rPr>
        <w:t xml:space="preserve"> </w:t>
      </w:r>
      <w:r w:rsidRPr="00190C70">
        <w:rPr>
          <w:rFonts w:cs="Arial"/>
          <w:sz w:val="24"/>
          <w:szCs w:val="24"/>
        </w:rPr>
        <w:t xml:space="preserve">rural de la parroquia urbana, el código de ZONA para el inventario catastral será a partir del 51. </w:t>
      </w:r>
    </w:p>
    <w:p w:rsidR="00B21BA0" w:rsidRPr="00190C70" w:rsidRDefault="00B21BA0" w:rsidP="007858B3">
      <w:pPr>
        <w:autoSpaceDE w:val="0"/>
        <w:spacing w:after="0" w:line="240" w:lineRule="auto"/>
        <w:jc w:val="both"/>
        <w:rPr>
          <w:rFonts w:cs="Arial"/>
          <w:sz w:val="24"/>
          <w:szCs w:val="24"/>
        </w:rPr>
      </w:pPr>
    </w:p>
    <w:p w:rsidR="00B21BA0" w:rsidRPr="00190C70" w:rsidRDefault="00B21BA0" w:rsidP="007858B3">
      <w:pPr>
        <w:autoSpaceDE w:val="0"/>
        <w:spacing w:after="0"/>
        <w:jc w:val="both"/>
        <w:rPr>
          <w:rFonts w:cs="Arial"/>
          <w:sz w:val="24"/>
          <w:szCs w:val="24"/>
        </w:rPr>
      </w:pPr>
      <w:r w:rsidRPr="00190C70">
        <w:rPr>
          <w:rFonts w:cs="Arial"/>
          <w:sz w:val="24"/>
          <w:szCs w:val="24"/>
        </w:rPr>
        <w:t>El código territorial local está compuesto por doce dígitos numéricos de los cuales dos son para identificación de ZONA, dos para identificación de SECTOR, dos para identificación de MANZANA (en lo urbano) y POLIGONO ( en lo rural), tres para identificación del PREDIO y tres para identificación de LA PROPIEDAD HORIZONTAL, en lo urbano y de DIVISIÓN  en lo rural</w:t>
      </w:r>
      <w:r w:rsidR="007858B3">
        <w:rPr>
          <w:rFonts w:cs="Arial"/>
          <w:sz w:val="24"/>
          <w:szCs w:val="24"/>
        </w:rPr>
        <w:t>.</w:t>
      </w:r>
    </w:p>
    <w:p w:rsidR="00B21BA0" w:rsidRPr="00190C70" w:rsidRDefault="00B21BA0" w:rsidP="00B21BA0">
      <w:pPr>
        <w:autoSpaceDE w:val="0"/>
        <w:spacing w:after="0" w:line="240" w:lineRule="auto"/>
        <w:jc w:val="both"/>
        <w:rPr>
          <w:rFonts w:cs="Arial"/>
          <w:b/>
          <w:spacing w:val="-3"/>
          <w:sz w:val="24"/>
          <w:szCs w:val="24"/>
        </w:rPr>
      </w:pPr>
    </w:p>
    <w:p w:rsidR="00B21BA0" w:rsidRPr="00190C70" w:rsidRDefault="00B21BA0" w:rsidP="009F6F46">
      <w:pPr>
        <w:pStyle w:val="Prrafodelista"/>
        <w:numPr>
          <w:ilvl w:val="0"/>
          <w:numId w:val="18"/>
        </w:numPr>
        <w:autoSpaceDE w:val="0"/>
        <w:spacing w:after="0" w:line="240" w:lineRule="auto"/>
        <w:ind w:left="426"/>
        <w:jc w:val="both"/>
        <w:rPr>
          <w:rFonts w:cs="Arial"/>
          <w:b/>
          <w:spacing w:val="-3"/>
          <w:sz w:val="24"/>
          <w:szCs w:val="24"/>
        </w:rPr>
      </w:pPr>
      <w:r w:rsidRPr="00190C70">
        <w:rPr>
          <w:rFonts w:cs="Arial"/>
          <w:b/>
          <w:spacing w:val="-3"/>
          <w:sz w:val="24"/>
          <w:szCs w:val="24"/>
        </w:rPr>
        <w:t>LEVANTAMIENTO PREDIAL:</w:t>
      </w:r>
    </w:p>
    <w:p w:rsidR="00B21BA0" w:rsidRPr="00190C70" w:rsidRDefault="00B21BA0" w:rsidP="00B21BA0">
      <w:pPr>
        <w:autoSpaceDE w:val="0"/>
        <w:spacing w:after="0" w:line="240" w:lineRule="auto"/>
        <w:jc w:val="both"/>
        <w:rPr>
          <w:rFonts w:cs="Arial"/>
          <w:spacing w:val="-3"/>
          <w:sz w:val="24"/>
          <w:szCs w:val="24"/>
        </w:rPr>
      </w:pPr>
    </w:p>
    <w:p w:rsidR="00B21BA0" w:rsidRPr="00190C70" w:rsidRDefault="00B21BA0" w:rsidP="00F92552">
      <w:pPr>
        <w:jc w:val="both"/>
        <w:rPr>
          <w:rFonts w:cs="Arial"/>
          <w:spacing w:val="-3"/>
          <w:sz w:val="24"/>
          <w:szCs w:val="24"/>
        </w:rPr>
      </w:pPr>
      <w:r w:rsidRPr="00190C70">
        <w:rPr>
          <w:rFonts w:cs="Arial"/>
          <w:spacing w:val="-3"/>
          <w:sz w:val="24"/>
          <w:szCs w:val="24"/>
        </w:rPr>
        <w:t>Se realiza con el formulario de declaración mixta (Ficha catastral) que prepara la administración municipal para los contribuyentes o responsables de entregar su información para el catastro urbano y rural, para esto se determina y jerarquiza las variables requeridas por la administración para la declaración de la información y la determinación del hecho generador.</w:t>
      </w:r>
    </w:p>
    <w:p w:rsidR="00B21BA0" w:rsidRDefault="00B21BA0" w:rsidP="00F92552">
      <w:pPr>
        <w:spacing w:after="0" w:line="240" w:lineRule="auto"/>
        <w:jc w:val="both"/>
        <w:rPr>
          <w:rFonts w:cs="Arial"/>
          <w:sz w:val="24"/>
          <w:szCs w:val="24"/>
        </w:rPr>
      </w:pPr>
      <w:r w:rsidRPr="00190C70">
        <w:rPr>
          <w:rFonts w:cs="Arial"/>
          <w:sz w:val="24"/>
          <w:szCs w:val="24"/>
        </w:rPr>
        <w:t>Estas variables nos permiten conocer las características de los predios que se van a investigar, con los siguientes referentes:</w:t>
      </w:r>
    </w:p>
    <w:p w:rsidR="00F92552" w:rsidRPr="00190C70" w:rsidRDefault="00F92552" w:rsidP="00F92552">
      <w:pPr>
        <w:spacing w:after="0" w:line="240" w:lineRule="auto"/>
        <w:jc w:val="both"/>
        <w:rPr>
          <w:rFonts w:cs="Arial"/>
          <w:sz w:val="24"/>
          <w:szCs w:val="24"/>
        </w:rPr>
      </w:pPr>
    </w:p>
    <w:p w:rsidR="00C577E6" w:rsidRPr="00190C70" w:rsidRDefault="00B21BA0" w:rsidP="00B21BA0">
      <w:pPr>
        <w:pStyle w:val="Textoindependiente"/>
        <w:rPr>
          <w:rFonts w:cs="Arial"/>
          <w:sz w:val="24"/>
          <w:szCs w:val="24"/>
        </w:rPr>
      </w:pPr>
      <w:r w:rsidRPr="00190C70">
        <w:rPr>
          <w:rFonts w:cs="Arial"/>
          <w:sz w:val="24"/>
          <w:szCs w:val="24"/>
        </w:rPr>
        <w:t>01.-</w:t>
      </w:r>
      <w:r w:rsidRPr="00190C70">
        <w:rPr>
          <w:rFonts w:cs="Arial"/>
          <w:sz w:val="24"/>
          <w:szCs w:val="24"/>
        </w:rPr>
        <w:tab/>
        <w:t>Identificación del predio:</w:t>
      </w:r>
    </w:p>
    <w:p w:rsidR="00B21BA0" w:rsidRPr="00190C70" w:rsidRDefault="00B21BA0" w:rsidP="00B21BA0">
      <w:pPr>
        <w:pStyle w:val="Textoindependiente"/>
        <w:rPr>
          <w:rFonts w:cs="Arial"/>
          <w:sz w:val="24"/>
          <w:szCs w:val="24"/>
        </w:rPr>
      </w:pPr>
      <w:r w:rsidRPr="00190C70">
        <w:rPr>
          <w:rFonts w:cs="Arial"/>
          <w:sz w:val="24"/>
          <w:szCs w:val="24"/>
        </w:rPr>
        <w:t>02.-</w:t>
      </w:r>
      <w:r w:rsidRPr="00190C70">
        <w:rPr>
          <w:rFonts w:cs="Arial"/>
          <w:sz w:val="24"/>
          <w:szCs w:val="24"/>
        </w:rPr>
        <w:tab/>
        <w:t>Tenencia del predio:</w:t>
      </w:r>
    </w:p>
    <w:p w:rsidR="00B21BA0" w:rsidRPr="00190C70" w:rsidRDefault="00B21BA0" w:rsidP="00B21BA0">
      <w:pPr>
        <w:pStyle w:val="Textoindependiente"/>
        <w:rPr>
          <w:rFonts w:cs="Arial"/>
          <w:sz w:val="24"/>
          <w:szCs w:val="24"/>
        </w:rPr>
      </w:pPr>
      <w:r w:rsidRPr="00190C70">
        <w:rPr>
          <w:rFonts w:cs="Arial"/>
          <w:sz w:val="24"/>
          <w:szCs w:val="24"/>
        </w:rPr>
        <w:t>03.-</w:t>
      </w:r>
      <w:r w:rsidRPr="00190C70">
        <w:rPr>
          <w:rFonts w:cs="Arial"/>
          <w:sz w:val="24"/>
          <w:szCs w:val="24"/>
          <w:lang w:val="es-ES"/>
        </w:rPr>
        <w:tab/>
      </w:r>
      <w:r w:rsidRPr="00190C70">
        <w:rPr>
          <w:rFonts w:cs="Arial"/>
          <w:sz w:val="24"/>
          <w:szCs w:val="24"/>
        </w:rPr>
        <w:t>Descripción física del terreno:</w:t>
      </w:r>
    </w:p>
    <w:p w:rsidR="00B21BA0" w:rsidRPr="00190C70" w:rsidRDefault="00B21BA0" w:rsidP="00B21BA0">
      <w:pPr>
        <w:pStyle w:val="Textoindependiente"/>
        <w:rPr>
          <w:rFonts w:cs="Arial"/>
          <w:sz w:val="24"/>
          <w:szCs w:val="24"/>
        </w:rPr>
      </w:pPr>
      <w:r w:rsidRPr="00190C70">
        <w:rPr>
          <w:rFonts w:cs="Arial"/>
          <w:sz w:val="24"/>
          <w:szCs w:val="24"/>
        </w:rPr>
        <w:t>04.-</w:t>
      </w:r>
      <w:r w:rsidRPr="00190C70">
        <w:rPr>
          <w:rFonts w:cs="Arial"/>
          <w:sz w:val="24"/>
          <w:szCs w:val="24"/>
        </w:rPr>
        <w:tab/>
        <w:t>Infraestructura y servicios:</w:t>
      </w:r>
    </w:p>
    <w:p w:rsidR="00B21BA0" w:rsidRPr="00190C70" w:rsidRDefault="00B21BA0" w:rsidP="00B21BA0">
      <w:pPr>
        <w:pStyle w:val="Textoindependiente"/>
        <w:rPr>
          <w:rFonts w:cs="Arial"/>
          <w:sz w:val="24"/>
          <w:szCs w:val="24"/>
        </w:rPr>
      </w:pPr>
      <w:r w:rsidRPr="00190C70">
        <w:rPr>
          <w:rFonts w:cs="Arial"/>
          <w:sz w:val="24"/>
          <w:szCs w:val="24"/>
        </w:rPr>
        <w:t>05.-</w:t>
      </w:r>
      <w:r w:rsidRPr="00190C70">
        <w:rPr>
          <w:rFonts w:cs="Arial"/>
          <w:sz w:val="24"/>
          <w:szCs w:val="24"/>
        </w:rPr>
        <w:tab/>
        <w:t>Uso de suelo del predio:</w:t>
      </w:r>
    </w:p>
    <w:p w:rsidR="00C577E6" w:rsidRDefault="00B21BA0" w:rsidP="00B21BA0">
      <w:pPr>
        <w:pStyle w:val="Textoindependiente"/>
        <w:rPr>
          <w:rFonts w:cs="Arial"/>
          <w:sz w:val="24"/>
          <w:szCs w:val="24"/>
        </w:rPr>
      </w:pPr>
      <w:r w:rsidRPr="00190C70">
        <w:rPr>
          <w:rFonts w:cs="Arial"/>
          <w:sz w:val="24"/>
          <w:szCs w:val="24"/>
        </w:rPr>
        <w:t>06.-</w:t>
      </w:r>
      <w:r w:rsidRPr="00190C70">
        <w:rPr>
          <w:rFonts w:cs="Arial"/>
          <w:sz w:val="24"/>
          <w:szCs w:val="24"/>
        </w:rPr>
        <w:tab/>
        <w:t>Descripción de las edificaciones.</w:t>
      </w:r>
    </w:p>
    <w:p w:rsidR="00F92552" w:rsidRPr="00190C70" w:rsidRDefault="00F92552" w:rsidP="00B21BA0">
      <w:pPr>
        <w:pStyle w:val="Textoindependiente"/>
        <w:rPr>
          <w:rFonts w:cs="Arial"/>
          <w:sz w:val="24"/>
          <w:szCs w:val="24"/>
        </w:rPr>
      </w:pPr>
    </w:p>
    <w:p w:rsidR="00B21BA0" w:rsidRPr="00190C70" w:rsidRDefault="00B21BA0" w:rsidP="00F92552">
      <w:pPr>
        <w:jc w:val="both"/>
        <w:rPr>
          <w:rFonts w:cs="Arial"/>
          <w:spacing w:val="-3"/>
          <w:sz w:val="24"/>
          <w:szCs w:val="24"/>
        </w:rPr>
      </w:pPr>
      <w:r w:rsidRPr="00190C70">
        <w:rPr>
          <w:rFonts w:cs="Arial"/>
          <w:spacing w:val="-3"/>
          <w:sz w:val="24"/>
          <w:szCs w:val="24"/>
        </w:rPr>
        <w:lastRenderedPageBreak/>
        <w:t>Estas variables expresan los hechos existentes a través de una selección de indicadores que permiten establecer objetivamente el hecho generador, mediante la recolección de los datos del predio, que serán levantados en la ficha catastral o formulario de declaración.</w:t>
      </w:r>
    </w:p>
    <w:p w:rsidR="00B21BA0" w:rsidRPr="00190C70" w:rsidRDefault="00430275" w:rsidP="00F92552">
      <w:pPr>
        <w:jc w:val="both"/>
        <w:rPr>
          <w:rFonts w:cs="Arial"/>
          <w:sz w:val="24"/>
          <w:szCs w:val="24"/>
          <w:lang w:val="es-ES"/>
        </w:rPr>
      </w:pPr>
      <w:r w:rsidRPr="00190C70">
        <w:rPr>
          <w:rFonts w:cs="Arial"/>
          <w:b/>
          <w:iCs/>
          <w:sz w:val="24"/>
          <w:szCs w:val="24"/>
          <w:lang w:val="es-ES"/>
        </w:rPr>
        <w:t>Artículo 9.-</w:t>
      </w:r>
      <w:r w:rsidR="00B21BA0" w:rsidRPr="00190C70">
        <w:rPr>
          <w:rFonts w:cs="Arial"/>
          <w:b/>
          <w:iCs/>
          <w:sz w:val="24"/>
          <w:szCs w:val="24"/>
          <w:lang w:val="es-ES"/>
        </w:rPr>
        <w:t xml:space="preserve"> CATASTROS Y REGISTRO DE LA PROPIEDAD</w:t>
      </w:r>
      <w:r w:rsidR="00B21BA0" w:rsidRPr="00190C70">
        <w:rPr>
          <w:rFonts w:cs="Arial"/>
          <w:iCs/>
          <w:sz w:val="24"/>
          <w:szCs w:val="24"/>
          <w:lang w:val="es-ES"/>
        </w:rPr>
        <w:t>.-</w:t>
      </w:r>
      <w:r w:rsidR="00B21BA0" w:rsidRPr="00190C70">
        <w:rPr>
          <w:rFonts w:cs="Arial"/>
          <w:sz w:val="24"/>
          <w:szCs w:val="24"/>
          <w:lang w:val="es-ES"/>
        </w:rPr>
        <w:t xml:space="preserve"> El GAD del Cantón Guaranda se encargará de la estructura administrativa del registro y su coordinación con el catastro.   </w:t>
      </w:r>
    </w:p>
    <w:p w:rsidR="00B21BA0" w:rsidRPr="00190C70" w:rsidRDefault="00B21BA0" w:rsidP="00F92552">
      <w:pPr>
        <w:jc w:val="both"/>
        <w:rPr>
          <w:rFonts w:cs="Arial"/>
          <w:sz w:val="24"/>
          <w:szCs w:val="24"/>
          <w:lang w:val="es-ES_tradnl"/>
        </w:rPr>
      </w:pPr>
      <w:r w:rsidRPr="00190C70">
        <w:rPr>
          <w:rFonts w:cs="Arial"/>
          <w:sz w:val="24"/>
          <w:szCs w:val="24"/>
          <w:lang w:val="es-ES_tradnl"/>
        </w:rPr>
        <w:t xml:space="preserve">Los notarios y registradores de la propiedad </w:t>
      </w:r>
      <w:r w:rsidRPr="00190C70">
        <w:rPr>
          <w:rFonts w:cs="Arial"/>
          <w:spacing w:val="-1"/>
          <w:sz w:val="24"/>
          <w:szCs w:val="24"/>
          <w:lang w:val="es-ES_tradnl"/>
        </w:rPr>
        <w:t xml:space="preserve">enviarán a las oficinas encargadas de la formación de los </w:t>
      </w:r>
      <w:r w:rsidRPr="00190C70">
        <w:rPr>
          <w:rFonts w:cs="Arial"/>
          <w:sz w:val="24"/>
          <w:szCs w:val="24"/>
          <w:lang w:val="es-ES_tradnl"/>
        </w:rPr>
        <w:t xml:space="preserve">catastros, dentro de los diez primeros días de cada mes, en los formularios que oportunamente les remitirán a esas </w:t>
      </w:r>
      <w:r w:rsidRPr="00190C70">
        <w:rPr>
          <w:rFonts w:cs="Arial"/>
          <w:spacing w:val="-1"/>
          <w:sz w:val="24"/>
          <w:szCs w:val="24"/>
          <w:lang w:val="es-ES_tradnl"/>
        </w:rPr>
        <w:t xml:space="preserve">oficinas, el registro completo de las transferencias totales o </w:t>
      </w:r>
      <w:r w:rsidRPr="00190C70">
        <w:rPr>
          <w:rFonts w:cs="Arial"/>
          <w:sz w:val="24"/>
          <w:szCs w:val="24"/>
          <w:lang w:val="es-ES_tradnl"/>
        </w:rPr>
        <w:t xml:space="preserve">parciales de los predios urbanos y rurales, de las particiones entre condóminos, de las adjudicaciones por remate y otras </w:t>
      </w:r>
      <w:r w:rsidRPr="00190C70">
        <w:rPr>
          <w:rFonts w:cs="Arial"/>
          <w:spacing w:val="-2"/>
          <w:sz w:val="24"/>
          <w:szCs w:val="24"/>
          <w:lang w:val="es-ES_tradnl"/>
        </w:rPr>
        <w:t xml:space="preserve">causas, así como de las hipotecas que hubieren autorizado o </w:t>
      </w:r>
      <w:r w:rsidRPr="00190C70">
        <w:rPr>
          <w:rFonts w:cs="Arial"/>
          <w:sz w:val="24"/>
          <w:szCs w:val="24"/>
          <w:lang w:val="es-ES_tradnl"/>
        </w:rPr>
        <w:t xml:space="preserve">registrado. Todo ello, de acuerdo con las especificaciones que consten en los mencionados formularios. </w:t>
      </w:r>
    </w:p>
    <w:p w:rsidR="00430275" w:rsidRPr="00190C70" w:rsidRDefault="00B21BA0" w:rsidP="00F92552">
      <w:pPr>
        <w:jc w:val="both"/>
        <w:rPr>
          <w:rFonts w:cs="Arial"/>
          <w:sz w:val="24"/>
          <w:szCs w:val="24"/>
          <w:lang w:val="es-ES_tradnl"/>
        </w:rPr>
      </w:pPr>
      <w:r w:rsidRPr="00190C70">
        <w:rPr>
          <w:rFonts w:cs="Arial"/>
          <w:sz w:val="24"/>
          <w:szCs w:val="24"/>
          <w:lang w:val="es-ES_tradnl"/>
        </w:rPr>
        <w:t xml:space="preserve">Si no recibieren estos formularios, remitirán los listados con los </w:t>
      </w:r>
      <w:r w:rsidRPr="00190C70">
        <w:rPr>
          <w:rFonts w:cs="Arial"/>
          <w:spacing w:val="-1"/>
          <w:sz w:val="24"/>
          <w:szCs w:val="24"/>
          <w:lang w:val="es-ES_tradnl"/>
        </w:rPr>
        <w:t xml:space="preserve">datos señalados. Esta información se la remitirá a través de </w:t>
      </w:r>
      <w:r w:rsidRPr="00190C70">
        <w:rPr>
          <w:rFonts w:cs="Arial"/>
          <w:sz w:val="24"/>
          <w:szCs w:val="24"/>
          <w:lang w:val="es-ES_tradnl"/>
        </w:rPr>
        <w:t>medios electrónicos.</w:t>
      </w:r>
    </w:p>
    <w:p w:rsidR="00B21BA0" w:rsidRPr="00190C70" w:rsidRDefault="00B21BA0" w:rsidP="00B21BA0">
      <w:pPr>
        <w:jc w:val="center"/>
        <w:rPr>
          <w:rFonts w:cs="Arial"/>
          <w:b/>
          <w:sz w:val="24"/>
          <w:szCs w:val="24"/>
          <w:lang w:val="es-ES_tradnl"/>
        </w:rPr>
      </w:pPr>
      <w:r w:rsidRPr="00190C70">
        <w:rPr>
          <w:rFonts w:cs="Arial"/>
          <w:b/>
          <w:sz w:val="24"/>
          <w:szCs w:val="24"/>
          <w:lang w:val="es-ES_tradnl"/>
        </w:rPr>
        <w:t>CAPÍTULO II</w:t>
      </w:r>
    </w:p>
    <w:p w:rsidR="00C577E6" w:rsidRPr="00190C70" w:rsidRDefault="00B21BA0" w:rsidP="00C577E6">
      <w:pPr>
        <w:jc w:val="center"/>
        <w:rPr>
          <w:rFonts w:cs="Arial"/>
          <w:b/>
          <w:sz w:val="24"/>
          <w:szCs w:val="24"/>
          <w:lang w:val="es-ES_tradnl"/>
        </w:rPr>
      </w:pPr>
      <w:r w:rsidRPr="00190C70">
        <w:rPr>
          <w:rFonts w:cs="Arial"/>
          <w:b/>
          <w:sz w:val="24"/>
          <w:szCs w:val="24"/>
          <w:lang w:val="es-ES_tradnl"/>
        </w:rPr>
        <w:t>DEL CONCEPTO, COMPETENCIA, SUJETOS DEL TRIBUTO Y RECLAMOS</w:t>
      </w:r>
    </w:p>
    <w:p w:rsidR="00B21BA0" w:rsidRPr="00190C70" w:rsidRDefault="00430275" w:rsidP="00B75A9D">
      <w:pPr>
        <w:pStyle w:val="Sangradetextonormal"/>
        <w:ind w:left="0"/>
        <w:jc w:val="both"/>
        <w:rPr>
          <w:rFonts w:cs="Arial"/>
          <w:sz w:val="24"/>
          <w:szCs w:val="24"/>
          <w:lang w:val="es-ES"/>
        </w:rPr>
      </w:pPr>
      <w:r w:rsidRPr="00190C70">
        <w:rPr>
          <w:rFonts w:cs="Arial"/>
          <w:b/>
          <w:iCs/>
          <w:sz w:val="24"/>
          <w:szCs w:val="24"/>
          <w:lang w:val="es-ES"/>
        </w:rPr>
        <w:t>Artículo 10.-</w:t>
      </w:r>
      <w:r w:rsidR="00B21BA0" w:rsidRPr="00190C70">
        <w:rPr>
          <w:rFonts w:cs="Arial"/>
          <w:b/>
          <w:iCs/>
          <w:sz w:val="24"/>
          <w:szCs w:val="24"/>
          <w:lang w:val="es-ES"/>
        </w:rPr>
        <w:t xml:space="preserve"> VALOR DE LA PROPIEDAD.-</w:t>
      </w:r>
      <w:r w:rsidR="00B21BA0" w:rsidRPr="00190C70">
        <w:rPr>
          <w:rFonts w:cs="Arial"/>
          <w:sz w:val="24"/>
          <w:szCs w:val="24"/>
          <w:lang w:val="es-MX"/>
        </w:rPr>
        <w:t xml:space="preserve">  </w:t>
      </w:r>
      <w:r w:rsidR="00B21BA0" w:rsidRPr="00190C70">
        <w:rPr>
          <w:rFonts w:cs="Arial"/>
          <w:sz w:val="24"/>
          <w:szCs w:val="24"/>
          <w:lang w:val="es-ES"/>
        </w:rPr>
        <w:t>Para establecer el valor de la propiedad se considerará en forma obligatoria, los siguientes elementos:</w:t>
      </w:r>
    </w:p>
    <w:p w:rsidR="00B21BA0" w:rsidRPr="00190C70" w:rsidRDefault="00B21BA0" w:rsidP="00B75A9D">
      <w:pPr>
        <w:pStyle w:val="Prrafodelista"/>
        <w:numPr>
          <w:ilvl w:val="0"/>
          <w:numId w:val="19"/>
        </w:numPr>
        <w:ind w:left="426"/>
        <w:jc w:val="both"/>
        <w:rPr>
          <w:rFonts w:cs="Arial"/>
          <w:iCs/>
          <w:sz w:val="24"/>
          <w:szCs w:val="24"/>
          <w:lang w:val="es-ES"/>
        </w:rPr>
      </w:pPr>
      <w:r w:rsidRPr="00190C70">
        <w:rPr>
          <w:rFonts w:cs="Arial"/>
          <w:iCs/>
          <w:sz w:val="24"/>
          <w:szCs w:val="24"/>
          <w:lang w:val="es-ES"/>
        </w:rPr>
        <w:t xml:space="preserve">El valor del suelo que es el precio unitario de suelo, urbano o rural, determinado por un proceso de comparación con precios de venta de parcelas o solares de condiciones similares u homogéneas del mismo sector, multiplicado por la superficie de la parcela o solar. </w:t>
      </w:r>
    </w:p>
    <w:p w:rsidR="00B21BA0" w:rsidRPr="00190C70" w:rsidRDefault="00B21BA0" w:rsidP="00B75A9D">
      <w:pPr>
        <w:pStyle w:val="Sangra2detindependiente1"/>
        <w:numPr>
          <w:ilvl w:val="0"/>
          <w:numId w:val="19"/>
        </w:numPr>
        <w:spacing w:line="276" w:lineRule="auto"/>
        <w:ind w:left="426"/>
        <w:jc w:val="both"/>
        <w:rPr>
          <w:rFonts w:asciiTheme="minorHAnsi" w:hAnsiTheme="minorHAnsi" w:cs="Arial"/>
          <w:sz w:val="24"/>
          <w:szCs w:val="24"/>
        </w:rPr>
      </w:pPr>
      <w:r w:rsidRPr="00190C70">
        <w:rPr>
          <w:rFonts w:asciiTheme="minorHAnsi" w:hAnsiTheme="minorHAnsi" w:cs="Arial"/>
          <w:sz w:val="24"/>
          <w:szCs w:val="24"/>
        </w:rPr>
        <w:t>El valor de las edificaciones que es el precio de las construcciones que se hayan desarrollado con carácter permanente sobre un solar, calculado sobre el método de reposición; y,</w:t>
      </w:r>
    </w:p>
    <w:p w:rsidR="00B21BA0" w:rsidRPr="00190C70" w:rsidRDefault="00B21BA0" w:rsidP="00B75A9D">
      <w:pPr>
        <w:pStyle w:val="Prrafodelista"/>
        <w:numPr>
          <w:ilvl w:val="0"/>
          <w:numId w:val="19"/>
        </w:numPr>
        <w:ind w:left="426"/>
        <w:jc w:val="both"/>
        <w:rPr>
          <w:rFonts w:cs="Arial"/>
          <w:iCs/>
          <w:sz w:val="24"/>
          <w:szCs w:val="24"/>
          <w:lang w:val="es-ES"/>
        </w:rPr>
      </w:pPr>
      <w:r w:rsidRPr="00190C70">
        <w:rPr>
          <w:rFonts w:cs="Arial"/>
          <w:iCs/>
          <w:sz w:val="24"/>
          <w:szCs w:val="24"/>
          <w:lang w:val="es-ES"/>
        </w:rPr>
        <w:lastRenderedPageBreak/>
        <w:t xml:space="preserve">El valor de reposición que se determina aplicando un proceso que permite la simulación de construcción de la obra que va a  ser avaluada, a costos actualizados de construcción, depreciada de forma proporcional al tiempo de vida útil. </w:t>
      </w:r>
    </w:p>
    <w:p w:rsidR="00B21BA0" w:rsidRPr="00190C70" w:rsidRDefault="00B21BA0" w:rsidP="00B75A9D">
      <w:pPr>
        <w:jc w:val="both"/>
        <w:rPr>
          <w:rFonts w:cs="Arial"/>
          <w:iCs/>
          <w:sz w:val="24"/>
          <w:szCs w:val="24"/>
        </w:rPr>
      </w:pPr>
      <w:r w:rsidRPr="00190C70">
        <w:rPr>
          <w:rFonts w:cs="Arial"/>
          <w:b/>
          <w:iCs/>
          <w:sz w:val="24"/>
          <w:szCs w:val="24"/>
          <w:lang w:val="es-ES"/>
        </w:rPr>
        <w:t xml:space="preserve">Artículo 11.- NOTIFICACIÓN.- </w:t>
      </w:r>
      <w:r w:rsidRPr="00190C70">
        <w:rPr>
          <w:rFonts w:cs="Arial"/>
          <w:iCs/>
          <w:sz w:val="24"/>
          <w:szCs w:val="24"/>
        </w:rPr>
        <w:t xml:space="preserve">A este efecto, la Dirección Financiera notificará por la prensa o por una boleta a los propietarios, haciéndoles conocer la realización del avalúo. Concluido el proceso se notificará al propietario el valor del avalúo. </w:t>
      </w:r>
    </w:p>
    <w:p w:rsidR="00B21BA0" w:rsidRPr="00190C70" w:rsidRDefault="00B21BA0" w:rsidP="00B75A9D">
      <w:pPr>
        <w:jc w:val="both"/>
        <w:rPr>
          <w:rFonts w:cs="Arial"/>
          <w:sz w:val="24"/>
          <w:szCs w:val="24"/>
          <w:lang w:val="es-ES"/>
        </w:rPr>
      </w:pPr>
      <w:r w:rsidRPr="00190C70">
        <w:rPr>
          <w:rFonts w:cs="Arial"/>
          <w:b/>
          <w:iCs/>
          <w:sz w:val="24"/>
          <w:szCs w:val="24"/>
          <w:lang w:val="es-ES"/>
        </w:rPr>
        <w:t>Artículo 12.- SUJETO ACTIVO.-</w:t>
      </w:r>
      <w:r w:rsidRPr="00190C70">
        <w:rPr>
          <w:rFonts w:cs="Arial"/>
          <w:sz w:val="24"/>
          <w:szCs w:val="24"/>
          <w:lang w:val="es-ES"/>
        </w:rPr>
        <w:t xml:space="preserve"> El sujeto activo de los impuestos señalados en los artículos precedentes es el Gobierno Autónomo Descentralizado del Cantón Guaranda</w:t>
      </w:r>
      <w:r w:rsidR="00812FE1">
        <w:rPr>
          <w:rFonts w:cs="Arial"/>
          <w:sz w:val="24"/>
          <w:szCs w:val="24"/>
          <w:lang w:val="es-ES"/>
        </w:rPr>
        <w:t>.</w:t>
      </w:r>
    </w:p>
    <w:p w:rsidR="00B21BA0" w:rsidRPr="00190C70" w:rsidRDefault="00B21BA0" w:rsidP="00812FE1">
      <w:pPr>
        <w:jc w:val="both"/>
        <w:rPr>
          <w:rFonts w:cs="Arial"/>
          <w:sz w:val="24"/>
          <w:szCs w:val="24"/>
          <w:lang w:val="es-ES"/>
        </w:rPr>
      </w:pPr>
      <w:r w:rsidRPr="00190C70">
        <w:rPr>
          <w:rFonts w:cs="Arial"/>
          <w:b/>
          <w:iCs/>
          <w:sz w:val="24"/>
          <w:szCs w:val="24"/>
          <w:lang w:val="es-ES"/>
        </w:rPr>
        <w:t>Artículo 13.- SUJETOS PASIVOS.-</w:t>
      </w:r>
      <w:r w:rsidRPr="00190C70">
        <w:rPr>
          <w:rFonts w:cs="Arial"/>
          <w:sz w:val="24"/>
          <w:szCs w:val="24"/>
          <w:lang w:val="es-ES"/>
        </w:rPr>
        <w:t xml:space="preserve"> Son sujetos pasivos, los contribuyentes o responsables de los impuestos que gravan la propiedad urbana y rural, las personas naturales o jurídicas, las sociedades de hecho, las sociedades de bienes, las  herencias yacentes y demás entidades </w:t>
      </w:r>
      <w:r w:rsidR="006D7182" w:rsidRPr="00190C70">
        <w:rPr>
          <w:rFonts w:cs="Arial"/>
          <w:sz w:val="24"/>
          <w:szCs w:val="24"/>
          <w:lang w:val="es-ES"/>
        </w:rPr>
        <w:t>aun</w:t>
      </w:r>
      <w:r w:rsidRPr="00190C70">
        <w:rPr>
          <w:rFonts w:cs="Arial"/>
          <w:sz w:val="24"/>
          <w:szCs w:val="24"/>
          <w:lang w:val="es-ES"/>
        </w:rPr>
        <w:t xml:space="preserve"> cuando careciesen  de personalidad jurídica, como señalan los </w:t>
      </w:r>
      <w:r w:rsidRPr="00190C70">
        <w:rPr>
          <w:rFonts w:cs="Arial"/>
          <w:noProof/>
          <w:sz w:val="24"/>
          <w:szCs w:val="24"/>
        </w:rPr>
        <w:t>artículos</w:t>
      </w:r>
      <w:r w:rsidRPr="00190C70">
        <w:rPr>
          <w:rFonts w:cs="Arial"/>
          <w:sz w:val="24"/>
          <w:szCs w:val="24"/>
          <w:lang w:val="es-ES"/>
        </w:rPr>
        <w:t>: 23, 24, 25, 26 y 27 del Código Tributario y que sean propietario</w:t>
      </w:r>
      <w:r w:rsidR="0051648A" w:rsidRPr="00190C70">
        <w:rPr>
          <w:rFonts w:cs="Arial"/>
          <w:sz w:val="24"/>
          <w:szCs w:val="24"/>
          <w:lang w:val="es-ES"/>
        </w:rPr>
        <w:t>s (urbanos) y (propietarios o posesionarios en lo rural)</w:t>
      </w:r>
      <w:r w:rsidRPr="00190C70">
        <w:rPr>
          <w:rFonts w:cs="Arial"/>
          <w:sz w:val="24"/>
          <w:szCs w:val="24"/>
          <w:lang w:val="es-ES"/>
        </w:rPr>
        <w:t xml:space="preserve"> usufructuarios de bienes raíces ubicados en las zonas  urbanas y rurales del Cantón (definido el responsable del tributo en la escritura pública).</w:t>
      </w:r>
    </w:p>
    <w:p w:rsidR="00B21BA0" w:rsidRPr="00190C70" w:rsidRDefault="00B21BA0" w:rsidP="00812FE1">
      <w:pPr>
        <w:jc w:val="both"/>
        <w:rPr>
          <w:rFonts w:cs="Arial"/>
          <w:sz w:val="24"/>
          <w:szCs w:val="24"/>
          <w:lang w:val="es-ES"/>
        </w:rPr>
      </w:pPr>
      <w:r w:rsidRPr="00190C70">
        <w:rPr>
          <w:rFonts w:cs="Arial"/>
          <w:b/>
          <w:iCs/>
          <w:sz w:val="24"/>
          <w:szCs w:val="24"/>
          <w:lang w:val="es-ES"/>
        </w:rPr>
        <w:t>Artículo 14.- RECLAMOS Y RECURSOS</w:t>
      </w:r>
      <w:r w:rsidRPr="00190C70">
        <w:rPr>
          <w:rFonts w:cs="Arial"/>
          <w:iCs/>
          <w:sz w:val="24"/>
          <w:szCs w:val="24"/>
          <w:lang w:val="es-ES"/>
        </w:rPr>
        <w:t>.-</w:t>
      </w:r>
      <w:r w:rsidRPr="00190C70">
        <w:rPr>
          <w:rFonts w:cs="Arial"/>
          <w:sz w:val="24"/>
          <w:szCs w:val="24"/>
          <w:lang w:val="es-ES"/>
        </w:rPr>
        <w:t xml:space="preserve"> Los contribuyentes responsables o terceros, tienen derecho a presentar reclamos e interponer los recursos  administrativos previstos en los  a</w:t>
      </w:r>
      <w:r w:rsidRPr="00190C70">
        <w:rPr>
          <w:rFonts w:cs="Arial"/>
          <w:noProof/>
          <w:sz w:val="24"/>
          <w:szCs w:val="24"/>
        </w:rPr>
        <w:t>rtículos</w:t>
      </w:r>
      <w:r w:rsidRPr="00190C70">
        <w:rPr>
          <w:rFonts w:cs="Arial"/>
          <w:b/>
          <w:sz w:val="24"/>
          <w:szCs w:val="24"/>
          <w:lang w:val="es-ES"/>
        </w:rPr>
        <w:t xml:space="preserve"> </w:t>
      </w:r>
      <w:r w:rsidRPr="00812FE1">
        <w:rPr>
          <w:rFonts w:cs="Arial"/>
          <w:sz w:val="24"/>
          <w:szCs w:val="24"/>
          <w:lang w:val="es-ES"/>
        </w:rPr>
        <w:t>115 del  Código Orgánico Tributario y  383 y 392 del</w:t>
      </w:r>
      <w:r w:rsidRPr="00190C70">
        <w:rPr>
          <w:rFonts w:cs="Arial"/>
          <w:b/>
          <w:sz w:val="24"/>
          <w:szCs w:val="24"/>
          <w:lang w:val="es-ES"/>
        </w:rPr>
        <w:t xml:space="preserve"> </w:t>
      </w:r>
      <w:r w:rsidRPr="00190C70">
        <w:rPr>
          <w:rFonts w:cs="Arial"/>
          <w:sz w:val="24"/>
          <w:szCs w:val="24"/>
          <w:lang w:val="es-ES"/>
        </w:rPr>
        <w:t>Código Orgánico de Organización Territorial Autonomía y Descentralización, ante el Director Financiero Municipal, quien los resolverá  en el tiempo y en la forma establecida.</w:t>
      </w:r>
    </w:p>
    <w:p w:rsidR="00EB6818" w:rsidRDefault="00B21BA0" w:rsidP="00EB6818">
      <w:pPr>
        <w:jc w:val="both"/>
        <w:rPr>
          <w:rFonts w:cs="Arial"/>
          <w:iCs/>
          <w:sz w:val="24"/>
          <w:szCs w:val="24"/>
        </w:rPr>
      </w:pPr>
      <w:r w:rsidRPr="00190C70">
        <w:rPr>
          <w:rFonts w:cs="Arial"/>
          <w:iCs/>
          <w:sz w:val="24"/>
          <w:szCs w:val="24"/>
        </w:rPr>
        <w:t xml:space="preserve">En caso de encontrarse en desacuerdo con la valoración de su propiedad, el contribuyente podrá impugnarla dentro del término de quince días a partir de la fecha de notificación, ante la máxima </w:t>
      </w:r>
      <w:r w:rsidR="006D7182" w:rsidRPr="00190C70">
        <w:rPr>
          <w:rFonts w:cs="Arial"/>
          <w:iCs/>
          <w:sz w:val="24"/>
          <w:szCs w:val="24"/>
        </w:rPr>
        <w:t>autoridad del Gobierno Autónomo Descentralizado Municipal del cantón Guaranda</w:t>
      </w:r>
      <w:r w:rsidRPr="00190C70">
        <w:rPr>
          <w:rFonts w:cs="Arial"/>
          <w:iCs/>
          <w:sz w:val="24"/>
          <w:szCs w:val="24"/>
        </w:rPr>
        <w:t>, mismo que deberá pronunciarse en un término de treinta días. Para tramitar la impugnación, no se requerirá del contribuyente el pago previo del nuevo valor del tributo.</w:t>
      </w:r>
    </w:p>
    <w:p w:rsidR="00EB6818" w:rsidRDefault="00EB6818" w:rsidP="00EB6818">
      <w:pPr>
        <w:jc w:val="both"/>
        <w:rPr>
          <w:rFonts w:cs="Arial"/>
          <w:iCs/>
          <w:sz w:val="24"/>
          <w:szCs w:val="24"/>
        </w:rPr>
      </w:pPr>
    </w:p>
    <w:p w:rsidR="00B21BA0" w:rsidRPr="00190C70" w:rsidRDefault="00B21BA0" w:rsidP="00EB6818">
      <w:pPr>
        <w:jc w:val="both"/>
        <w:rPr>
          <w:rFonts w:cs="Arial"/>
          <w:iCs/>
          <w:sz w:val="24"/>
          <w:szCs w:val="24"/>
        </w:rPr>
      </w:pPr>
      <w:r w:rsidRPr="00190C70">
        <w:rPr>
          <w:rFonts w:cs="Arial"/>
          <w:iCs/>
          <w:sz w:val="24"/>
          <w:szCs w:val="24"/>
        </w:rPr>
        <w:t xml:space="preserve"> </w:t>
      </w:r>
    </w:p>
    <w:p w:rsidR="00B21BA0" w:rsidRPr="00190C70" w:rsidRDefault="00B21BA0" w:rsidP="00B21BA0">
      <w:pPr>
        <w:jc w:val="center"/>
        <w:rPr>
          <w:rFonts w:cs="Arial"/>
          <w:b/>
          <w:iCs/>
          <w:sz w:val="24"/>
          <w:szCs w:val="24"/>
        </w:rPr>
      </w:pPr>
      <w:r w:rsidRPr="00190C70">
        <w:rPr>
          <w:rFonts w:cs="Arial"/>
          <w:b/>
          <w:iCs/>
          <w:sz w:val="24"/>
          <w:szCs w:val="24"/>
        </w:rPr>
        <w:lastRenderedPageBreak/>
        <w:t>CAPÍTULO III</w:t>
      </w:r>
    </w:p>
    <w:p w:rsidR="00B21BA0" w:rsidRPr="00190C70" w:rsidRDefault="00B21BA0" w:rsidP="00B21BA0">
      <w:pPr>
        <w:jc w:val="center"/>
        <w:rPr>
          <w:rFonts w:cs="Arial"/>
          <w:b/>
          <w:iCs/>
          <w:sz w:val="24"/>
          <w:szCs w:val="24"/>
        </w:rPr>
      </w:pPr>
      <w:r w:rsidRPr="00190C70">
        <w:rPr>
          <w:rFonts w:cs="Arial"/>
          <w:b/>
          <w:iCs/>
          <w:sz w:val="24"/>
          <w:szCs w:val="24"/>
          <w:lang w:val="es-ES"/>
        </w:rPr>
        <w:t>DEL PROCESO TRIBUTARIO</w:t>
      </w:r>
    </w:p>
    <w:p w:rsidR="00B21BA0" w:rsidRPr="00190C70" w:rsidRDefault="00B21BA0" w:rsidP="00EB6818">
      <w:pPr>
        <w:jc w:val="both"/>
        <w:rPr>
          <w:rFonts w:cs="Arial"/>
          <w:sz w:val="24"/>
          <w:szCs w:val="24"/>
          <w:lang w:val="es-ES"/>
        </w:rPr>
      </w:pPr>
      <w:r w:rsidRPr="00190C70">
        <w:rPr>
          <w:rFonts w:cs="Arial"/>
          <w:b/>
          <w:iCs/>
          <w:sz w:val="24"/>
          <w:szCs w:val="24"/>
          <w:lang w:val="es-ES"/>
        </w:rPr>
        <w:t>Artículo 15.- EMISION, DEDUCCIONES, REBAJAS, EXENCIONES Y ESTIMULOS</w:t>
      </w:r>
      <w:r w:rsidRPr="00190C70">
        <w:rPr>
          <w:rFonts w:cs="Arial"/>
          <w:iCs/>
          <w:sz w:val="24"/>
          <w:szCs w:val="24"/>
          <w:lang w:val="es-ES"/>
        </w:rPr>
        <w:t>.- P</w:t>
      </w:r>
      <w:r w:rsidRPr="00190C70">
        <w:rPr>
          <w:rFonts w:cs="Arial"/>
          <w:sz w:val="24"/>
          <w:szCs w:val="24"/>
          <w:lang w:val="es-ES"/>
        </w:rPr>
        <w:t>ara determinar  la base imponible, se considerarán las rebajas, deducciones y exoneraciones consideradas en el Código Orgánico de Organización Territorial Autonomía y Descentralización, Código Orgánico Tributario y demás rebajas, deducciones y exenciones establecidas por Ley, para las propiedades urbanas y rurales que se harán efectivas, mediante la presentación de la solicitud correspondiente por parte del contribuyente ante el Director Financiero Municipal, quien resolverá su aplicación.</w:t>
      </w:r>
    </w:p>
    <w:p w:rsidR="00B21BA0" w:rsidRPr="00190C70" w:rsidRDefault="00B21BA0" w:rsidP="00EB6818">
      <w:pPr>
        <w:jc w:val="both"/>
        <w:rPr>
          <w:rFonts w:cs="Arial"/>
          <w:sz w:val="24"/>
          <w:szCs w:val="24"/>
          <w:lang w:val="es-ES"/>
        </w:rPr>
      </w:pPr>
      <w:r w:rsidRPr="00190C70">
        <w:rPr>
          <w:rFonts w:cs="Arial"/>
          <w:sz w:val="24"/>
          <w:szCs w:val="24"/>
          <w:lang w:val="es-ES"/>
        </w:rPr>
        <w:t>Por la consistencia: tributaria, presupuestaria y de la emisión plurianual es importante considerar el dato de la RBU (Remuneración Básica Unificada del trabajador), el dato oficial que se encuentre vigente en el momento de legalizar la emisión del primer año del bienio, ingresará ese dato al sistema, si a la fecha de emisión del segundo año del bienio no se tiene dato oficial actualizado, se mantendrá el dato de RBU del primer año del bienio para todo el período fiscal.</w:t>
      </w:r>
    </w:p>
    <w:p w:rsidR="00B21BA0" w:rsidRPr="00190C70" w:rsidRDefault="00B21BA0" w:rsidP="00EB6818">
      <w:pPr>
        <w:jc w:val="both"/>
        <w:rPr>
          <w:rFonts w:cs="Arial"/>
          <w:sz w:val="24"/>
          <w:szCs w:val="24"/>
          <w:lang w:val="es-ES"/>
        </w:rPr>
      </w:pPr>
      <w:r w:rsidRPr="00190C70">
        <w:rPr>
          <w:rFonts w:cs="Arial"/>
          <w:sz w:val="24"/>
          <w:szCs w:val="24"/>
          <w:lang w:val="es-ES"/>
        </w:rPr>
        <w:t>Las solicitudes para la actualización de información predial se podrán presentar hasta el 31 de diciembre del año inmediato anterior y estarán acompañadas de todos los documentos justificativos.</w:t>
      </w:r>
    </w:p>
    <w:p w:rsidR="00B21BA0" w:rsidRDefault="00B21BA0" w:rsidP="006A496A">
      <w:pPr>
        <w:jc w:val="both"/>
        <w:rPr>
          <w:rFonts w:cs="Arial"/>
          <w:sz w:val="24"/>
          <w:szCs w:val="24"/>
          <w:lang w:val="es-ES"/>
        </w:rPr>
      </w:pPr>
      <w:r w:rsidRPr="00190C70">
        <w:rPr>
          <w:rFonts w:cs="Arial"/>
          <w:b/>
          <w:iCs/>
          <w:sz w:val="24"/>
          <w:szCs w:val="24"/>
          <w:lang w:val="es-ES"/>
        </w:rPr>
        <w:t>Artículo 16.- EMISION DE TITULOS DE CREDITO.-</w:t>
      </w:r>
      <w:r w:rsidRPr="00190C70">
        <w:rPr>
          <w:rFonts w:cs="Arial"/>
          <w:sz w:val="24"/>
          <w:szCs w:val="24"/>
          <w:lang w:val="es-ES"/>
        </w:rPr>
        <w:t xml:space="preserve"> Sobre la base de los catastros urbanos y rurales la Dirección Financiera Municipal ordenará a</w:t>
      </w:r>
      <w:r w:rsidRPr="00190C70">
        <w:rPr>
          <w:rFonts w:cs="Arial"/>
          <w:color w:val="FF0000"/>
          <w:sz w:val="24"/>
          <w:szCs w:val="24"/>
          <w:lang w:val="es-ES"/>
        </w:rPr>
        <w:t xml:space="preserve"> </w:t>
      </w:r>
      <w:r w:rsidRPr="00190C70">
        <w:rPr>
          <w:rFonts w:cs="Arial"/>
          <w:sz w:val="24"/>
          <w:szCs w:val="24"/>
          <w:lang w:val="es-ES"/>
        </w:rPr>
        <w:t xml:space="preserve">la oficina de Rentas o quien tenga esa responsabilidad la emisión de los correspondientes títulos de créditos hasta el 31 de diciembre del año inmediato anterior al que corresponden, los mismos que refrendados por el Director Financiero, registrados y debidamente contabilizados, pasarán a la Tesorería Municipal para su cobro, sin necesidad de que se notifique al contribuyente de esta obligación. </w:t>
      </w:r>
    </w:p>
    <w:p w:rsidR="00D51BEA" w:rsidRDefault="00D51BEA" w:rsidP="006A496A">
      <w:pPr>
        <w:jc w:val="both"/>
        <w:rPr>
          <w:rFonts w:cs="Arial"/>
          <w:sz w:val="24"/>
          <w:szCs w:val="24"/>
          <w:lang w:val="es-ES"/>
        </w:rPr>
      </w:pPr>
    </w:p>
    <w:p w:rsidR="00B21BA0" w:rsidRPr="00190C70" w:rsidRDefault="00B21BA0" w:rsidP="00D51BEA">
      <w:pPr>
        <w:spacing w:line="240" w:lineRule="auto"/>
        <w:jc w:val="both"/>
        <w:rPr>
          <w:rFonts w:cs="Arial"/>
          <w:sz w:val="24"/>
          <w:szCs w:val="24"/>
          <w:lang w:val="es-ES"/>
        </w:rPr>
      </w:pPr>
      <w:r w:rsidRPr="00190C70">
        <w:rPr>
          <w:rFonts w:cs="Arial"/>
          <w:sz w:val="24"/>
          <w:szCs w:val="24"/>
          <w:lang w:val="es-ES"/>
        </w:rPr>
        <w:lastRenderedPageBreak/>
        <w:t xml:space="preserve">Los Títulos de crédito contendrán los requisitos dispuestos en el </w:t>
      </w:r>
      <w:r w:rsidRPr="00190C70">
        <w:rPr>
          <w:rFonts w:cs="Arial"/>
          <w:noProof/>
          <w:sz w:val="24"/>
          <w:szCs w:val="24"/>
        </w:rPr>
        <w:t>artículo</w:t>
      </w:r>
      <w:r w:rsidRPr="00190C70">
        <w:rPr>
          <w:rFonts w:cs="Arial"/>
          <w:sz w:val="24"/>
          <w:szCs w:val="24"/>
          <w:lang w:val="es-ES"/>
        </w:rPr>
        <w:t xml:space="preserve"> 150 del Código Tributario,  la falta de alguno de  los requisitos establecidos en este artículo, excepto el </w:t>
      </w:r>
      <w:proofErr w:type="gramStart"/>
      <w:r w:rsidRPr="00190C70">
        <w:rPr>
          <w:rFonts w:cs="Arial"/>
          <w:sz w:val="24"/>
          <w:szCs w:val="24"/>
          <w:lang w:val="es-ES"/>
        </w:rPr>
        <w:t>señalado</w:t>
      </w:r>
      <w:proofErr w:type="gramEnd"/>
      <w:r w:rsidRPr="00190C70">
        <w:rPr>
          <w:rFonts w:cs="Arial"/>
          <w:sz w:val="24"/>
          <w:szCs w:val="24"/>
          <w:lang w:val="es-ES"/>
        </w:rPr>
        <w:t xml:space="preserve"> en el numeral 6, causará la nulidad del título de crédito.</w:t>
      </w:r>
    </w:p>
    <w:p w:rsidR="00B21BA0" w:rsidRPr="00190C70" w:rsidRDefault="00B21BA0" w:rsidP="006A496A">
      <w:pPr>
        <w:jc w:val="both"/>
        <w:rPr>
          <w:rFonts w:cs="Arial"/>
          <w:sz w:val="24"/>
          <w:szCs w:val="24"/>
          <w:lang w:val="es-ES"/>
        </w:rPr>
      </w:pPr>
      <w:r w:rsidRPr="00190C70">
        <w:rPr>
          <w:rFonts w:cs="Arial"/>
          <w:b/>
          <w:iCs/>
          <w:sz w:val="24"/>
          <w:szCs w:val="24"/>
          <w:lang w:val="es-ES"/>
        </w:rPr>
        <w:t>Artículo 17.- LIQUIDACIÓN DE LOS TITULOS DE CREDITO.-</w:t>
      </w:r>
      <w:r w:rsidRPr="00190C70">
        <w:rPr>
          <w:rFonts w:cs="Arial"/>
          <w:sz w:val="24"/>
          <w:szCs w:val="24"/>
          <w:lang w:val="es-ES"/>
        </w:rPr>
        <w:t xml:space="preserve"> Al efectuarse  la liquidación   de  los títulos de crédito  tributarios, se establecerá  con absoluta claridad el monto de los intereses,  recargos o descuentos a que hubiere lugar y el valor efectivamente cobrado, lo que se reflejará en el correspondiente  parte diario de recaudación.</w:t>
      </w:r>
    </w:p>
    <w:p w:rsidR="00B21BA0" w:rsidRPr="00190C70" w:rsidRDefault="00B21BA0" w:rsidP="006A496A">
      <w:pPr>
        <w:jc w:val="both"/>
        <w:rPr>
          <w:rFonts w:cs="Arial"/>
          <w:sz w:val="24"/>
          <w:szCs w:val="24"/>
          <w:lang w:val="es-ES"/>
        </w:rPr>
      </w:pPr>
      <w:r w:rsidRPr="00190C70">
        <w:rPr>
          <w:rFonts w:cs="Arial"/>
          <w:b/>
          <w:iCs/>
          <w:sz w:val="24"/>
          <w:szCs w:val="24"/>
          <w:lang w:val="es-ES"/>
        </w:rPr>
        <w:t>Artículo 18.- IMPUTACIÓN DE PAGOS PARCIALES</w:t>
      </w:r>
      <w:r w:rsidRPr="00190C70">
        <w:rPr>
          <w:rFonts w:cs="Arial"/>
          <w:iCs/>
          <w:sz w:val="24"/>
          <w:szCs w:val="24"/>
          <w:lang w:val="es-ES"/>
        </w:rPr>
        <w:t>.-</w:t>
      </w:r>
      <w:r w:rsidRPr="00190C70">
        <w:rPr>
          <w:rFonts w:cs="Arial"/>
          <w:sz w:val="24"/>
          <w:szCs w:val="24"/>
          <w:lang w:val="es-ES"/>
        </w:rPr>
        <w:t xml:space="preserve"> Los pagos parciales, se imputarán en el siguiente orden: primero a intereses, luego al tributo y,  por último,  a multas y costas.</w:t>
      </w:r>
    </w:p>
    <w:p w:rsidR="00B21BA0" w:rsidRPr="00190C70" w:rsidRDefault="00B21BA0" w:rsidP="006A496A">
      <w:pPr>
        <w:jc w:val="both"/>
        <w:rPr>
          <w:rFonts w:cs="Arial"/>
          <w:sz w:val="24"/>
          <w:szCs w:val="24"/>
          <w:lang w:val="es-ES"/>
        </w:rPr>
      </w:pPr>
      <w:r w:rsidRPr="00190C70">
        <w:rPr>
          <w:rFonts w:cs="Arial"/>
          <w:sz w:val="24"/>
          <w:szCs w:val="24"/>
          <w:lang w:val="es-ES"/>
        </w:rPr>
        <w:t>Si un contribuyente o responsable debiere varios títulos  de crédito,  el pago se imputará primero al título de crédito más antiguo que no haya prescrito.</w:t>
      </w:r>
    </w:p>
    <w:p w:rsidR="00B21BA0" w:rsidRPr="00190C70" w:rsidRDefault="00B21BA0" w:rsidP="00D51BEA">
      <w:pPr>
        <w:jc w:val="both"/>
        <w:rPr>
          <w:rFonts w:cs="Arial"/>
          <w:sz w:val="24"/>
          <w:szCs w:val="24"/>
          <w:lang w:val="es-ES"/>
        </w:rPr>
      </w:pPr>
      <w:r w:rsidRPr="00190C70">
        <w:rPr>
          <w:rFonts w:cs="Arial"/>
          <w:b/>
          <w:iCs/>
          <w:sz w:val="24"/>
          <w:szCs w:val="24"/>
          <w:lang w:val="es-ES"/>
        </w:rPr>
        <w:t>Artículo 19.- SANCIONES TRIBUTARIAS</w:t>
      </w:r>
      <w:r w:rsidRPr="00190C70">
        <w:rPr>
          <w:rFonts w:cs="Arial"/>
          <w:iCs/>
          <w:sz w:val="24"/>
          <w:szCs w:val="24"/>
          <w:lang w:val="es-ES"/>
        </w:rPr>
        <w:t>.-</w:t>
      </w:r>
      <w:r w:rsidRPr="00190C70">
        <w:rPr>
          <w:rFonts w:cs="Arial"/>
          <w:sz w:val="24"/>
          <w:szCs w:val="24"/>
          <w:lang w:val="es-ES"/>
        </w:rPr>
        <w:t xml:space="preserve">  Los contribuyentes responsables de los impuestos a los predios urbanos y rurales que cometieran infracciones, contravenciones o faltas reglamentarias, en lo referente a las normas que rigen la determinación,  administración y control del impuesto a los predios  urbanos y rurales, estarán sujetos a las sanciones previstas en el Libro IV del Código Tributario.</w:t>
      </w:r>
    </w:p>
    <w:p w:rsidR="00B21BA0" w:rsidRPr="00190C70" w:rsidRDefault="00B21BA0" w:rsidP="00D51BEA">
      <w:pPr>
        <w:jc w:val="both"/>
        <w:rPr>
          <w:rFonts w:cs="Arial"/>
          <w:sz w:val="24"/>
          <w:szCs w:val="24"/>
          <w:lang w:val="es-ES"/>
        </w:rPr>
      </w:pPr>
      <w:r w:rsidRPr="00190C70">
        <w:rPr>
          <w:rFonts w:cs="Arial"/>
          <w:b/>
          <w:iCs/>
          <w:sz w:val="24"/>
          <w:szCs w:val="24"/>
          <w:lang w:val="es-ES"/>
        </w:rPr>
        <w:t>Artículo 20.-</w:t>
      </w:r>
      <w:r w:rsidRPr="00190C70">
        <w:rPr>
          <w:rFonts w:cs="Arial"/>
          <w:b/>
          <w:iCs/>
          <w:sz w:val="24"/>
          <w:szCs w:val="24"/>
          <w:lang w:val="es-ES"/>
        </w:rPr>
        <w:tab/>
        <w:t xml:space="preserve"> CERTIFICACIÓN DE AVALÚOS</w:t>
      </w:r>
      <w:r w:rsidRPr="00190C70">
        <w:rPr>
          <w:rFonts w:cs="Arial"/>
          <w:iCs/>
          <w:sz w:val="24"/>
          <w:szCs w:val="24"/>
          <w:lang w:val="es-ES"/>
        </w:rPr>
        <w:t>.-</w:t>
      </w:r>
      <w:r w:rsidRPr="00190C70">
        <w:rPr>
          <w:rFonts w:cs="Arial"/>
          <w:sz w:val="24"/>
          <w:szCs w:val="24"/>
          <w:lang w:val="es-ES"/>
        </w:rPr>
        <w:t xml:space="preserve"> La Oficina de Avalúos y Catastros conferirá la certificación sobre el valor de la propiedad urbana y propiedad rural vigente en el presente bienio, que le fueren solicitados por los contribuyentes o responsables del impuesto a los predios urbanos y rurales, previa solicitud escrita y, la presentación del certificado de no adeudar a la municipalidad por concepto alguno.</w:t>
      </w:r>
    </w:p>
    <w:p w:rsidR="000C7EC8" w:rsidRDefault="00B21BA0" w:rsidP="00D51BEA">
      <w:pPr>
        <w:jc w:val="both"/>
        <w:rPr>
          <w:rFonts w:cs="Arial"/>
          <w:sz w:val="24"/>
          <w:szCs w:val="24"/>
          <w:lang w:val="es-ES"/>
        </w:rPr>
      </w:pPr>
      <w:r w:rsidRPr="00190C70">
        <w:rPr>
          <w:rFonts w:cs="Arial"/>
          <w:b/>
          <w:iCs/>
          <w:sz w:val="24"/>
          <w:szCs w:val="24"/>
          <w:lang w:val="es-ES"/>
        </w:rPr>
        <w:t>Artículo 21.- INTERESES POR MORA TRIBUTARIA</w:t>
      </w:r>
      <w:r w:rsidRPr="00190C70">
        <w:rPr>
          <w:rFonts w:cs="Arial"/>
          <w:iCs/>
          <w:sz w:val="24"/>
          <w:szCs w:val="24"/>
          <w:lang w:val="es-ES"/>
        </w:rPr>
        <w:t>.-</w:t>
      </w:r>
      <w:r w:rsidRPr="00190C70">
        <w:rPr>
          <w:rFonts w:cs="Arial"/>
          <w:sz w:val="24"/>
          <w:szCs w:val="24"/>
          <w:lang w:val="es-ES"/>
        </w:rPr>
        <w:t xml:space="preserve">  A partir de su vencimiento,  el impuesto principal  y sus adicionales, ya sean de beneficio municipal o de  otras entidades u organismos públicos,  devengarán el interés anual desde el primero de enero del año al que</w:t>
      </w:r>
      <w:r w:rsidR="000C7EC8">
        <w:rPr>
          <w:rFonts w:cs="Arial"/>
          <w:sz w:val="24"/>
          <w:szCs w:val="24"/>
          <w:lang w:val="es-ES"/>
        </w:rPr>
        <w:t xml:space="preserve">  </w:t>
      </w:r>
      <w:r w:rsidRPr="00190C70">
        <w:rPr>
          <w:rFonts w:cs="Arial"/>
          <w:sz w:val="24"/>
          <w:szCs w:val="24"/>
          <w:lang w:val="es-ES"/>
        </w:rPr>
        <w:t xml:space="preserve"> corresponden</w:t>
      </w:r>
      <w:r w:rsidR="000C7EC8">
        <w:rPr>
          <w:rFonts w:cs="Arial"/>
          <w:sz w:val="24"/>
          <w:szCs w:val="24"/>
          <w:lang w:val="es-ES"/>
        </w:rPr>
        <w:t xml:space="preserve">  </w:t>
      </w:r>
      <w:r w:rsidRPr="00190C70">
        <w:rPr>
          <w:rFonts w:cs="Arial"/>
          <w:sz w:val="24"/>
          <w:szCs w:val="24"/>
          <w:lang w:val="es-ES"/>
        </w:rPr>
        <w:t xml:space="preserve"> los</w:t>
      </w:r>
      <w:r w:rsidR="000C7EC8">
        <w:rPr>
          <w:rFonts w:cs="Arial"/>
          <w:sz w:val="24"/>
          <w:szCs w:val="24"/>
          <w:lang w:val="es-ES"/>
        </w:rPr>
        <w:t xml:space="preserve">  </w:t>
      </w:r>
      <w:r w:rsidRPr="00190C70">
        <w:rPr>
          <w:rFonts w:cs="Arial"/>
          <w:sz w:val="24"/>
          <w:szCs w:val="24"/>
          <w:lang w:val="es-ES"/>
        </w:rPr>
        <w:t xml:space="preserve"> impuestos </w:t>
      </w:r>
      <w:r w:rsidR="000C7EC8">
        <w:rPr>
          <w:rFonts w:cs="Arial"/>
          <w:sz w:val="24"/>
          <w:szCs w:val="24"/>
          <w:lang w:val="es-ES"/>
        </w:rPr>
        <w:t xml:space="preserve"> </w:t>
      </w:r>
      <w:r w:rsidRPr="00190C70">
        <w:rPr>
          <w:rFonts w:cs="Arial"/>
          <w:sz w:val="24"/>
          <w:szCs w:val="24"/>
          <w:lang w:val="es-ES"/>
        </w:rPr>
        <w:t xml:space="preserve"> hasta</w:t>
      </w:r>
      <w:r w:rsidR="000C7EC8">
        <w:rPr>
          <w:rFonts w:cs="Arial"/>
          <w:sz w:val="24"/>
          <w:szCs w:val="24"/>
          <w:lang w:val="es-ES"/>
        </w:rPr>
        <w:t xml:space="preserve">  </w:t>
      </w:r>
      <w:r w:rsidRPr="00190C70">
        <w:rPr>
          <w:rFonts w:cs="Arial"/>
          <w:sz w:val="24"/>
          <w:szCs w:val="24"/>
          <w:lang w:val="es-ES"/>
        </w:rPr>
        <w:t xml:space="preserve"> la</w:t>
      </w:r>
      <w:r w:rsidR="000C7EC8">
        <w:rPr>
          <w:rFonts w:cs="Arial"/>
          <w:sz w:val="24"/>
          <w:szCs w:val="24"/>
          <w:lang w:val="es-ES"/>
        </w:rPr>
        <w:t xml:space="preserve">  </w:t>
      </w:r>
      <w:r w:rsidRPr="00190C70">
        <w:rPr>
          <w:rFonts w:cs="Arial"/>
          <w:sz w:val="24"/>
          <w:szCs w:val="24"/>
          <w:lang w:val="es-ES"/>
        </w:rPr>
        <w:t xml:space="preserve"> fecha </w:t>
      </w:r>
      <w:r w:rsidR="000C7EC8">
        <w:rPr>
          <w:rFonts w:cs="Arial"/>
          <w:sz w:val="24"/>
          <w:szCs w:val="24"/>
          <w:lang w:val="es-ES"/>
        </w:rPr>
        <w:t xml:space="preserve"> </w:t>
      </w:r>
      <w:r w:rsidRPr="00190C70">
        <w:rPr>
          <w:rFonts w:cs="Arial"/>
          <w:sz w:val="24"/>
          <w:szCs w:val="24"/>
          <w:lang w:val="es-ES"/>
        </w:rPr>
        <w:t>del</w:t>
      </w:r>
      <w:r w:rsidR="000C7EC8">
        <w:rPr>
          <w:rFonts w:cs="Arial"/>
          <w:sz w:val="24"/>
          <w:szCs w:val="24"/>
          <w:lang w:val="es-ES"/>
        </w:rPr>
        <w:t xml:space="preserve">  </w:t>
      </w:r>
      <w:r w:rsidRPr="00190C70">
        <w:rPr>
          <w:rFonts w:cs="Arial"/>
          <w:sz w:val="24"/>
          <w:szCs w:val="24"/>
          <w:lang w:val="es-ES"/>
        </w:rPr>
        <w:t xml:space="preserve"> pago, </w:t>
      </w:r>
      <w:r w:rsidR="000C7EC8">
        <w:rPr>
          <w:rFonts w:cs="Arial"/>
          <w:sz w:val="24"/>
          <w:szCs w:val="24"/>
          <w:lang w:val="es-ES"/>
        </w:rPr>
        <w:t xml:space="preserve"> </w:t>
      </w:r>
      <w:r w:rsidRPr="00190C70">
        <w:rPr>
          <w:rFonts w:cs="Arial"/>
          <w:sz w:val="24"/>
          <w:szCs w:val="24"/>
          <w:lang w:val="es-ES"/>
        </w:rPr>
        <w:t>según</w:t>
      </w:r>
      <w:r w:rsidR="000C7EC8">
        <w:rPr>
          <w:rFonts w:cs="Arial"/>
          <w:sz w:val="24"/>
          <w:szCs w:val="24"/>
          <w:lang w:val="es-ES"/>
        </w:rPr>
        <w:t xml:space="preserve"> </w:t>
      </w:r>
      <w:r w:rsidRPr="00190C70">
        <w:rPr>
          <w:rFonts w:cs="Arial"/>
          <w:sz w:val="24"/>
          <w:szCs w:val="24"/>
          <w:lang w:val="es-ES"/>
        </w:rPr>
        <w:t xml:space="preserve"> la tasa de interés </w:t>
      </w:r>
    </w:p>
    <w:p w:rsidR="000C7EC8" w:rsidRDefault="000C7EC8" w:rsidP="00D51BEA">
      <w:pPr>
        <w:jc w:val="both"/>
        <w:rPr>
          <w:rFonts w:cs="Arial"/>
          <w:sz w:val="24"/>
          <w:szCs w:val="24"/>
          <w:lang w:val="es-ES"/>
        </w:rPr>
      </w:pPr>
    </w:p>
    <w:p w:rsidR="00584C26" w:rsidRPr="00190C70" w:rsidRDefault="00B21BA0" w:rsidP="00D51BEA">
      <w:pPr>
        <w:jc w:val="both"/>
        <w:rPr>
          <w:rFonts w:cs="Arial"/>
          <w:sz w:val="24"/>
          <w:szCs w:val="24"/>
          <w:lang w:val="es-ES"/>
        </w:rPr>
      </w:pPr>
      <w:proofErr w:type="gramStart"/>
      <w:r w:rsidRPr="00190C70">
        <w:rPr>
          <w:rFonts w:cs="Arial"/>
          <w:sz w:val="24"/>
          <w:szCs w:val="24"/>
          <w:lang w:val="es-ES"/>
        </w:rPr>
        <w:lastRenderedPageBreak/>
        <w:t>establecida</w:t>
      </w:r>
      <w:proofErr w:type="gramEnd"/>
      <w:r w:rsidRPr="00190C70">
        <w:rPr>
          <w:rFonts w:cs="Arial"/>
          <w:sz w:val="24"/>
          <w:szCs w:val="24"/>
          <w:lang w:val="es-ES"/>
        </w:rPr>
        <w:t xml:space="preserve"> de conformidad con las disposiciones del Banco Central, en concordancia con el </w:t>
      </w:r>
      <w:r w:rsidRPr="00190C70">
        <w:rPr>
          <w:rFonts w:cs="Arial"/>
          <w:noProof/>
          <w:sz w:val="24"/>
          <w:szCs w:val="24"/>
        </w:rPr>
        <w:t>artículo</w:t>
      </w:r>
      <w:r w:rsidRPr="00190C70">
        <w:rPr>
          <w:rFonts w:cs="Arial"/>
          <w:b/>
          <w:sz w:val="24"/>
          <w:szCs w:val="24"/>
          <w:lang w:val="es-ES"/>
        </w:rPr>
        <w:t xml:space="preserve"> </w:t>
      </w:r>
      <w:r w:rsidRPr="00D51BEA">
        <w:rPr>
          <w:rFonts w:cs="Arial"/>
          <w:sz w:val="24"/>
          <w:szCs w:val="24"/>
          <w:lang w:val="es-ES"/>
        </w:rPr>
        <w:t>21 del Código Tributario.</w:t>
      </w:r>
      <w:r w:rsidRPr="00190C70">
        <w:rPr>
          <w:rFonts w:cs="Arial"/>
          <w:sz w:val="24"/>
          <w:szCs w:val="24"/>
          <w:lang w:val="es-ES"/>
        </w:rPr>
        <w:t xml:space="preserve"> El interés se calculará  por cada mes, sin lugar a liquidaciones  diarias.</w:t>
      </w:r>
    </w:p>
    <w:p w:rsidR="00B21BA0" w:rsidRPr="00190C70" w:rsidRDefault="00B21BA0" w:rsidP="00B21BA0">
      <w:pPr>
        <w:jc w:val="center"/>
        <w:rPr>
          <w:rFonts w:cs="Arial"/>
          <w:b/>
          <w:sz w:val="24"/>
          <w:szCs w:val="24"/>
          <w:lang w:val="es-ES"/>
        </w:rPr>
      </w:pPr>
      <w:r w:rsidRPr="00190C70">
        <w:rPr>
          <w:rFonts w:cs="Arial"/>
          <w:b/>
          <w:sz w:val="24"/>
          <w:szCs w:val="24"/>
          <w:lang w:val="es-ES"/>
        </w:rPr>
        <w:t>CAPITULO IV</w:t>
      </w:r>
    </w:p>
    <w:p w:rsidR="00B21BA0" w:rsidRPr="00190C70" w:rsidRDefault="00B21BA0" w:rsidP="00B21BA0">
      <w:pPr>
        <w:jc w:val="center"/>
        <w:rPr>
          <w:rFonts w:cs="Arial"/>
          <w:b/>
          <w:sz w:val="24"/>
          <w:szCs w:val="24"/>
          <w:lang w:val="es-ES"/>
        </w:rPr>
      </w:pPr>
      <w:r w:rsidRPr="00190C70">
        <w:rPr>
          <w:rFonts w:cs="Arial"/>
          <w:b/>
          <w:sz w:val="24"/>
          <w:szCs w:val="24"/>
          <w:lang w:val="es-ES"/>
        </w:rPr>
        <w:t>IMPUESTO A LA PROPIEDAD URBANA</w:t>
      </w:r>
    </w:p>
    <w:p w:rsidR="00B21BA0" w:rsidRPr="00190C70" w:rsidRDefault="00B21BA0" w:rsidP="00E35F0F">
      <w:pPr>
        <w:jc w:val="both"/>
        <w:rPr>
          <w:rFonts w:cs="Arial"/>
          <w:sz w:val="24"/>
          <w:szCs w:val="24"/>
          <w:lang w:val="es-ES"/>
        </w:rPr>
      </w:pPr>
      <w:r w:rsidRPr="00190C70">
        <w:rPr>
          <w:rFonts w:cs="Arial"/>
          <w:b/>
          <w:iCs/>
          <w:sz w:val="24"/>
          <w:szCs w:val="24"/>
          <w:lang w:val="es-ES"/>
        </w:rPr>
        <w:t>Artículo 22.- OBJETO DEL IMPUESTO.-</w:t>
      </w:r>
      <w:r w:rsidRPr="00190C70">
        <w:rPr>
          <w:rFonts w:cs="Arial"/>
          <w:sz w:val="24"/>
          <w:szCs w:val="24"/>
          <w:lang w:val="es-ES"/>
        </w:rPr>
        <w:t xml:space="preserve"> Serán objeto del impuesto a la propiedad Urbana, todos los predios ubicados dentro de los límites de las zonas urbanas de la cabecera cantonal, de las cabeceras parroquiales y demás zonas urbanas del Cantón determinadas de conformidad con la Ley, la Ordenanza del Plan Regulador y de Ordenamiento Territorial Urbano de Guaranda vigente y demás legislación local.  </w:t>
      </w:r>
    </w:p>
    <w:p w:rsidR="00B21BA0" w:rsidRPr="00190C70" w:rsidRDefault="00B21BA0" w:rsidP="00E35F0F">
      <w:pPr>
        <w:jc w:val="both"/>
        <w:rPr>
          <w:rFonts w:cs="Arial"/>
          <w:sz w:val="24"/>
          <w:szCs w:val="24"/>
        </w:rPr>
      </w:pPr>
      <w:r w:rsidRPr="00190C70">
        <w:rPr>
          <w:rFonts w:cs="Arial"/>
          <w:b/>
          <w:iCs/>
          <w:sz w:val="24"/>
          <w:szCs w:val="24"/>
          <w:lang w:val="es-ES"/>
        </w:rPr>
        <w:t xml:space="preserve">Artículo 23.- SUJETOS PASIVOS.- </w:t>
      </w:r>
      <w:r w:rsidRPr="00190C70">
        <w:rPr>
          <w:rFonts w:cs="Arial"/>
          <w:sz w:val="24"/>
          <w:szCs w:val="24"/>
          <w:lang w:val="es-ES_tradnl"/>
        </w:rPr>
        <w:t xml:space="preserve">Son sujetos pasivos </w:t>
      </w:r>
      <w:r w:rsidRPr="00190C70">
        <w:rPr>
          <w:rFonts w:cs="Arial"/>
          <w:spacing w:val="-2"/>
          <w:sz w:val="24"/>
          <w:szCs w:val="24"/>
          <w:lang w:val="es-ES_tradnl"/>
        </w:rPr>
        <w:t xml:space="preserve">de este impuesto los propietarios de predios ubicados dentro </w:t>
      </w:r>
      <w:r w:rsidRPr="00190C70">
        <w:rPr>
          <w:rFonts w:cs="Arial"/>
          <w:sz w:val="24"/>
          <w:szCs w:val="24"/>
          <w:lang w:val="es-ES_tradnl"/>
        </w:rPr>
        <w:t>de los límites de las zonas urbanas, quienes pagarán un impuesto anual, cuyo sujeto activo es la municipalidad o distrito metropolitano respectivo, en la forma establecida por la ley.</w:t>
      </w:r>
    </w:p>
    <w:p w:rsidR="00B21BA0" w:rsidRPr="00190C70" w:rsidRDefault="00B21BA0" w:rsidP="00E35F0F">
      <w:pPr>
        <w:shd w:val="clear" w:color="auto" w:fill="FFFFFF"/>
        <w:spacing w:before="202"/>
        <w:ind w:left="14"/>
        <w:jc w:val="both"/>
        <w:rPr>
          <w:rFonts w:cs="Arial"/>
          <w:sz w:val="24"/>
          <w:szCs w:val="24"/>
        </w:rPr>
      </w:pPr>
      <w:r w:rsidRPr="00190C70">
        <w:rPr>
          <w:rFonts w:cs="Arial"/>
          <w:spacing w:val="-1"/>
          <w:sz w:val="24"/>
          <w:szCs w:val="24"/>
          <w:lang w:val="es-ES_tradnl"/>
        </w:rPr>
        <w:t xml:space="preserve">Para los efectos de este impuesto, los límites de las zonas </w:t>
      </w:r>
      <w:r w:rsidRPr="00190C70">
        <w:rPr>
          <w:rFonts w:cs="Arial"/>
          <w:sz w:val="24"/>
          <w:szCs w:val="24"/>
          <w:lang w:val="es-ES_tradnl"/>
        </w:rPr>
        <w:t>urb</w:t>
      </w:r>
      <w:r w:rsidR="00E12D19" w:rsidRPr="00190C70">
        <w:rPr>
          <w:rFonts w:cs="Arial"/>
          <w:sz w:val="24"/>
          <w:szCs w:val="24"/>
          <w:lang w:val="es-ES_tradnl"/>
        </w:rPr>
        <w:t>anas serán determinados por el C</w:t>
      </w:r>
      <w:r w:rsidRPr="00190C70">
        <w:rPr>
          <w:rFonts w:cs="Arial"/>
          <w:sz w:val="24"/>
          <w:szCs w:val="24"/>
          <w:lang w:val="es-ES_tradnl"/>
        </w:rPr>
        <w:t xml:space="preserve">oncejo </w:t>
      </w:r>
      <w:r w:rsidR="00E12D19" w:rsidRPr="00190C70">
        <w:rPr>
          <w:rFonts w:cs="Arial"/>
          <w:sz w:val="24"/>
          <w:szCs w:val="24"/>
          <w:lang w:val="es-ES_tradnl"/>
        </w:rPr>
        <w:t>Municipal mediante O</w:t>
      </w:r>
      <w:r w:rsidRPr="00190C70">
        <w:rPr>
          <w:rFonts w:cs="Arial"/>
          <w:sz w:val="24"/>
          <w:szCs w:val="24"/>
          <w:lang w:val="es-ES_tradnl"/>
        </w:rPr>
        <w:t>rdenanza, previo informe de una comis</w:t>
      </w:r>
      <w:r w:rsidR="00E12D19" w:rsidRPr="00190C70">
        <w:rPr>
          <w:rFonts w:cs="Arial"/>
          <w:sz w:val="24"/>
          <w:szCs w:val="24"/>
          <w:lang w:val="es-ES_tradnl"/>
        </w:rPr>
        <w:t>ión especial conformada por el Gobierno A</w:t>
      </w:r>
      <w:r w:rsidRPr="00190C70">
        <w:rPr>
          <w:rFonts w:cs="Arial"/>
          <w:sz w:val="24"/>
          <w:szCs w:val="24"/>
          <w:lang w:val="es-ES_tradnl"/>
        </w:rPr>
        <w:t>utónomo</w:t>
      </w:r>
      <w:r w:rsidR="00E12D19" w:rsidRPr="00190C70">
        <w:rPr>
          <w:rFonts w:cs="Arial"/>
          <w:sz w:val="24"/>
          <w:szCs w:val="24"/>
          <w:lang w:val="es-ES_tradnl"/>
        </w:rPr>
        <w:t xml:space="preserve"> </w:t>
      </w:r>
      <w:r w:rsidR="00E12D19" w:rsidRPr="00190C70">
        <w:rPr>
          <w:rFonts w:cs="Arial"/>
          <w:iCs/>
          <w:sz w:val="24"/>
          <w:szCs w:val="24"/>
        </w:rPr>
        <w:t>Descentralizado Municipal</w:t>
      </w:r>
      <w:r w:rsidRPr="00190C70">
        <w:rPr>
          <w:rFonts w:cs="Arial"/>
          <w:sz w:val="24"/>
          <w:szCs w:val="24"/>
          <w:lang w:val="es-ES_tradnl"/>
        </w:rPr>
        <w:t xml:space="preserve"> correspondiente, de  </w:t>
      </w:r>
      <w:r w:rsidRPr="00190C70">
        <w:rPr>
          <w:rFonts w:cs="Arial"/>
          <w:spacing w:val="-1"/>
          <w:sz w:val="24"/>
          <w:szCs w:val="24"/>
          <w:lang w:val="es-ES_tradnl"/>
        </w:rPr>
        <w:t xml:space="preserve">la que formará parte un representante del centro agrícola </w:t>
      </w:r>
      <w:r w:rsidRPr="00190C70">
        <w:rPr>
          <w:rFonts w:cs="Arial"/>
          <w:sz w:val="24"/>
          <w:szCs w:val="24"/>
          <w:lang w:val="es-ES_tradnl"/>
        </w:rPr>
        <w:t xml:space="preserve">cantonal respectivo. Se incorpora los predios rústicos a urbanos de acuerdo a la nueva delimitación establecida mediante Ordenanza </w:t>
      </w:r>
      <w:r w:rsidRPr="00190C70">
        <w:rPr>
          <w:rFonts w:cs="Arial"/>
          <w:sz w:val="24"/>
          <w:szCs w:val="24"/>
          <w:lang w:val="es-ES"/>
        </w:rPr>
        <w:t>del Plan Regulador y de Ordenamiento Territorial Urbano de Guaranda vigente.</w:t>
      </w:r>
    </w:p>
    <w:p w:rsidR="00B21BA0" w:rsidRPr="00190C70" w:rsidRDefault="00B21BA0" w:rsidP="00E35F0F">
      <w:pPr>
        <w:jc w:val="both"/>
        <w:rPr>
          <w:rFonts w:cs="Arial"/>
          <w:sz w:val="24"/>
          <w:szCs w:val="24"/>
          <w:lang w:val="es-ES"/>
        </w:rPr>
      </w:pPr>
      <w:r w:rsidRPr="00190C70">
        <w:rPr>
          <w:rFonts w:cs="Arial"/>
          <w:b/>
          <w:iCs/>
          <w:sz w:val="24"/>
          <w:szCs w:val="24"/>
          <w:lang w:val="es-ES"/>
        </w:rPr>
        <w:t>Artículo 24.- IMPUESTOS QUE GRAVAN A LOS PREDIOS URBANOS.-</w:t>
      </w:r>
      <w:r w:rsidRPr="00190C70">
        <w:rPr>
          <w:rFonts w:cs="Arial"/>
          <w:b/>
          <w:sz w:val="24"/>
          <w:szCs w:val="24"/>
          <w:lang w:val="es-ES"/>
        </w:rPr>
        <w:t xml:space="preserve"> </w:t>
      </w:r>
      <w:r w:rsidRPr="00190C70">
        <w:rPr>
          <w:rFonts w:cs="Arial"/>
          <w:sz w:val="24"/>
          <w:szCs w:val="24"/>
          <w:lang w:val="es-ES"/>
        </w:rPr>
        <w:t xml:space="preserve">Los predios urbanos están gravados por los siguientes impuestos establecidos en los </w:t>
      </w:r>
      <w:r w:rsidRPr="00190C70">
        <w:rPr>
          <w:rFonts w:cs="Arial"/>
          <w:noProof/>
          <w:sz w:val="24"/>
          <w:szCs w:val="24"/>
        </w:rPr>
        <w:t>artículos</w:t>
      </w:r>
      <w:r w:rsidRPr="00190C70">
        <w:rPr>
          <w:rFonts w:cs="Arial"/>
          <w:sz w:val="24"/>
          <w:szCs w:val="24"/>
          <w:lang w:val="es-ES"/>
        </w:rPr>
        <w:t xml:space="preserve"> 494 al 513 del Código Orgánico de Organización Territorial Autonomía y Descentralización;</w:t>
      </w:r>
    </w:p>
    <w:p w:rsidR="00584C26" w:rsidRPr="00584C26" w:rsidRDefault="00B21BA0" w:rsidP="00584C26">
      <w:pPr>
        <w:pStyle w:val="Prrafodelista"/>
        <w:numPr>
          <w:ilvl w:val="0"/>
          <w:numId w:val="17"/>
        </w:numPr>
        <w:ind w:left="426"/>
        <w:jc w:val="both"/>
        <w:rPr>
          <w:rFonts w:cs="Arial"/>
          <w:sz w:val="24"/>
          <w:szCs w:val="24"/>
          <w:lang w:val="es-ES"/>
        </w:rPr>
      </w:pPr>
      <w:r w:rsidRPr="00190C70">
        <w:rPr>
          <w:rFonts w:cs="Arial"/>
          <w:sz w:val="24"/>
          <w:szCs w:val="24"/>
          <w:lang w:val="es-ES"/>
        </w:rPr>
        <w:t>El impuesto a los predios urbanos</w:t>
      </w:r>
      <w:r w:rsidR="00636B22" w:rsidRPr="00190C70">
        <w:rPr>
          <w:rFonts w:cs="Arial"/>
          <w:sz w:val="24"/>
          <w:szCs w:val="24"/>
          <w:lang w:val="es-ES"/>
        </w:rPr>
        <w:t>.</w:t>
      </w:r>
    </w:p>
    <w:p w:rsidR="00B21BA0" w:rsidRPr="00190C70" w:rsidRDefault="00B21BA0" w:rsidP="00E35F0F">
      <w:pPr>
        <w:pStyle w:val="Prrafodelista"/>
        <w:numPr>
          <w:ilvl w:val="0"/>
          <w:numId w:val="17"/>
        </w:numPr>
        <w:ind w:left="426"/>
        <w:jc w:val="both"/>
        <w:rPr>
          <w:rFonts w:cs="Arial"/>
          <w:sz w:val="24"/>
          <w:szCs w:val="24"/>
          <w:lang w:val="es-ES"/>
        </w:rPr>
      </w:pPr>
      <w:r w:rsidRPr="00190C70">
        <w:rPr>
          <w:rFonts w:cs="Arial"/>
          <w:sz w:val="24"/>
          <w:szCs w:val="24"/>
          <w:lang w:val="es-ES"/>
        </w:rPr>
        <w:t>Impuestos adicionales en zonas de promoción inmediata.</w:t>
      </w:r>
    </w:p>
    <w:p w:rsidR="00B62FE6" w:rsidRPr="00584C26" w:rsidRDefault="00B21BA0" w:rsidP="00584C26">
      <w:pPr>
        <w:pStyle w:val="Prrafodelista"/>
        <w:numPr>
          <w:ilvl w:val="0"/>
          <w:numId w:val="17"/>
        </w:numPr>
        <w:ind w:left="426"/>
        <w:jc w:val="both"/>
        <w:rPr>
          <w:rFonts w:cs="Arial"/>
          <w:sz w:val="24"/>
          <w:szCs w:val="24"/>
          <w:lang w:val="es-ES"/>
        </w:rPr>
      </w:pPr>
      <w:r w:rsidRPr="00190C70">
        <w:rPr>
          <w:rFonts w:cs="Arial"/>
          <w:sz w:val="24"/>
          <w:szCs w:val="24"/>
          <w:lang w:val="es-ES"/>
        </w:rPr>
        <w:t>Impuesto Adicional al Cuerpo de Bomberos.</w:t>
      </w:r>
    </w:p>
    <w:p w:rsidR="00B21BA0" w:rsidRPr="00190C70" w:rsidRDefault="00B21BA0" w:rsidP="00B21BA0">
      <w:pPr>
        <w:pStyle w:val="Sangradetextonormal"/>
        <w:ind w:left="0"/>
        <w:rPr>
          <w:rFonts w:cs="Arial"/>
          <w:sz w:val="24"/>
          <w:szCs w:val="24"/>
          <w:lang w:val="es-MX"/>
        </w:rPr>
      </w:pPr>
      <w:r w:rsidRPr="00190C70">
        <w:rPr>
          <w:rFonts w:cs="Arial"/>
          <w:b/>
          <w:iCs/>
          <w:sz w:val="24"/>
          <w:szCs w:val="24"/>
          <w:lang w:val="es-ES"/>
        </w:rPr>
        <w:lastRenderedPageBreak/>
        <w:t>Artículo 25.- VALOR DE LA PROPIEDAD URBANA.-</w:t>
      </w:r>
      <w:r w:rsidRPr="00190C70">
        <w:rPr>
          <w:rFonts w:cs="Arial"/>
          <w:sz w:val="24"/>
          <w:szCs w:val="24"/>
          <w:lang w:val="es-MX"/>
        </w:rPr>
        <w:t xml:space="preserve">  </w:t>
      </w:r>
    </w:p>
    <w:p w:rsidR="00B21BA0" w:rsidRPr="00190C70" w:rsidRDefault="00B21BA0" w:rsidP="00E35F0F">
      <w:pPr>
        <w:jc w:val="both"/>
        <w:rPr>
          <w:rFonts w:cs="Arial"/>
          <w:sz w:val="24"/>
          <w:szCs w:val="24"/>
        </w:rPr>
      </w:pPr>
      <w:r w:rsidRPr="00190C70">
        <w:rPr>
          <w:rFonts w:cs="Arial"/>
          <w:b/>
          <w:bCs/>
          <w:sz w:val="24"/>
          <w:szCs w:val="24"/>
        </w:rPr>
        <w:t xml:space="preserve">a.-) Valor de terrenos.- </w:t>
      </w:r>
      <w:r w:rsidRPr="00190C70">
        <w:rPr>
          <w:rFonts w:cs="Arial"/>
          <w:sz w:val="24"/>
          <w:szCs w:val="24"/>
          <w:lang w:val="es-ES_tradnl"/>
        </w:rPr>
        <w:t xml:space="preserve">Los predios urbanos serán valorados </w:t>
      </w:r>
      <w:r w:rsidRPr="00190C70">
        <w:rPr>
          <w:rFonts w:cs="Arial"/>
          <w:spacing w:val="-1"/>
          <w:sz w:val="24"/>
          <w:szCs w:val="24"/>
          <w:lang w:val="es-ES_tradnl"/>
        </w:rPr>
        <w:t>mediante la aplicación de los elementos de valor del suelo, valor de las edificaciones y valor de reposición previstos en la Ley</w:t>
      </w:r>
      <w:r w:rsidRPr="00190C70">
        <w:rPr>
          <w:rFonts w:cs="Arial"/>
          <w:sz w:val="24"/>
          <w:szCs w:val="24"/>
          <w:lang w:val="es-ES_tradnl"/>
        </w:rPr>
        <w:t xml:space="preserve">; con este propósito, el concejo aprobará mediante ordenanza, el plano del valor de la tierra, los factores de aumento o reducción del valor del terreno por </w:t>
      </w:r>
      <w:r w:rsidRPr="00190C70">
        <w:rPr>
          <w:rFonts w:cs="Arial"/>
          <w:spacing w:val="-1"/>
          <w:sz w:val="24"/>
          <w:szCs w:val="24"/>
          <w:lang w:val="es-ES_tradnl"/>
        </w:rPr>
        <w:t xml:space="preserve">los aspectos geométricos, topográficos, accesibilidad a </w:t>
      </w:r>
      <w:r w:rsidRPr="00190C70">
        <w:rPr>
          <w:rFonts w:cs="Arial"/>
          <w:spacing w:val="-2"/>
          <w:sz w:val="24"/>
          <w:szCs w:val="24"/>
          <w:lang w:val="es-ES_tradnl"/>
        </w:rPr>
        <w:t xml:space="preserve">determinados servicios, como agua potable, alcantarillado y </w:t>
      </w:r>
      <w:r w:rsidRPr="00190C70">
        <w:rPr>
          <w:rFonts w:cs="Arial"/>
          <w:sz w:val="24"/>
          <w:szCs w:val="24"/>
          <w:lang w:val="es-ES_tradnl"/>
        </w:rPr>
        <w:t>otros servicios, así como los factores para la valoración de las edificaciones.</w:t>
      </w:r>
    </w:p>
    <w:p w:rsidR="00B21BA0" w:rsidRPr="00190C70" w:rsidRDefault="00B21BA0" w:rsidP="00E35F0F">
      <w:pPr>
        <w:jc w:val="both"/>
        <w:rPr>
          <w:rFonts w:cs="Arial"/>
          <w:sz w:val="24"/>
          <w:szCs w:val="24"/>
        </w:rPr>
      </w:pPr>
      <w:r w:rsidRPr="00190C70">
        <w:rPr>
          <w:rFonts w:cs="Arial"/>
          <w:sz w:val="24"/>
          <w:szCs w:val="24"/>
        </w:rPr>
        <w:t xml:space="preserve">El plano de sectores homogéneos, es el resultado de la conjugación de variables e indicadores analizadas en la realidad urbana como universo de estudio, la infraestructura básica, la infraestructura complementaria y servicios municipales, información que permite además, analizar la cobertura y déficit de la presencia física de las infraestructuras y servicios urbanos, información, que relaciona de manera inmediata la capacidad de administración y gestión que tiene la municipal en el espacio urbano. </w:t>
      </w:r>
    </w:p>
    <w:p w:rsidR="00B21BA0" w:rsidRPr="00190C70" w:rsidRDefault="00B21BA0" w:rsidP="00E35F0F">
      <w:pPr>
        <w:jc w:val="both"/>
        <w:rPr>
          <w:rFonts w:cs="Arial"/>
          <w:sz w:val="24"/>
          <w:szCs w:val="24"/>
        </w:rPr>
      </w:pPr>
      <w:r w:rsidRPr="00190C70">
        <w:rPr>
          <w:rFonts w:cs="Arial"/>
          <w:sz w:val="24"/>
          <w:szCs w:val="24"/>
        </w:rPr>
        <w:t xml:space="preserve">Además se considera el análisis de las características del uso y ocupación del suelo, la morfología y el equipamiento urbano en la funcionalidad urbana del cantón, resultado con los que permite establecer los sectores homogéneos de cada una de las áreas urbanas. </w:t>
      </w:r>
    </w:p>
    <w:p w:rsidR="00B21BA0" w:rsidRPr="00190C70" w:rsidRDefault="00B21BA0" w:rsidP="00E35F0F">
      <w:pPr>
        <w:jc w:val="both"/>
        <w:rPr>
          <w:rFonts w:cs="Arial"/>
          <w:sz w:val="24"/>
          <w:szCs w:val="24"/>
        </w:rPr>
      </w:pPr>
      <w:r w:rsidRPr="00190C70">
        <w:rPr>
          <w:rFonts w:cs="Arial"/>
          <w:sz w:val="24"/>
          <w:szCs w:val="24"/>
        </w:rPr>
        <w:t xml:space="preserve">Información que cuantificada permite definir la cobertura y déficit de las infraestructuras y servicios instalados en cada una de las área urbana del cantón Guaranda. </w:t>
      </w:r>
    </w:p>
    <w:p w:rsidR="00B21BA0" w:rsidRDefault="00B21BA0" w:rsidP="00E35F0F">
      <w:pPr>
        <w:jc w:val="both"/>
        <w:outlineLvl w:val="0"/>
        <w:rPr>
          <w:rFonts w:cs="Arial"/>
          <w:sz w:val="24"/>
          <w:szCs w:val="24"/>
        </w:rPr>
      </w:pPr>
      <w:r w:rsidRPr="00190C70">
        <w:rPr>
          <w:rFonts w:cs="Arial"/>
          <w:sz w:val="24"/>
          <w:szCs w:val="24"/>
        </w:rPr>
        <w:t>Los datos porcentuales promedio de cobertura por sector en GUARANDA son: sector 01: 97.88 %, sector 02: 94.39 %, sector 03: 80.23 %, sector 04: 58.64 % y sector 05: 53.08 %, sector 06: 35.50 %, sector 07: 11.06</w:t>
      </w:r>
      <w:r w:rsidR="003D7277" w:rsidRPr="00190C70">
        <w:rPr>
          <w:rFonts w:cs="Arial"/>
          <w:sz w:val="24"/>
          <w:szCs w:val="24"/>
        </w:rPr>
        <w:t>%</w:t>
      </w:r>
      <w:r w:rsidRPr="00190C70">
        <w:rPr>
          <w:rFonts w:cs="Arial"/>
          <w:sz w:val="24"/>
          <w:szCs w:val="24"/>
        </w:rPr>
        <w:t>, dándonos un promedio general de cobertura de servicios en ciudad de 61.55 %.</w:t>
      </w:r>
    </w:p>
    <w:p w:rsidR="00997A34" w:rsidRPr="00190C70" w:rsidRDefault="00997A34" w:rsidP="00E35F0F">
      <w:pPr>
        <w:jc w:val="both"/>
        <w:outlineLvl w:val="0"/>
        <w:rPr>
          <w:rFonts w:cs="Arial"/>
          <w:sz w:val="24"/>
          <w:szCs w:val="24"/>
        </w:rPr>
      </w:pPr>
    </w:p>
    <w:p w:rsidR="00997A34" w:rsidRDefault="00997A34" w:rsidP="00B21BA0">
      <w:pPr>
        <w:jc w:val="both"/>
        <w:rPr>
          <w:rFonts w:cs="Arial"/>
          <w:sz w:val="24"/>
          <w:szCs w:val="24"/>
        </w:rPr>
      </w:pPr>
    </w:p>
    <w:p w:rsidR="00997A34" w:rsidRDefault="00997A34" w:rsidP="00B21BA0">
      <w:pPr>
        <w:jc w:val="both"/>
        <w:rPr>
          <w:rFonts w:cs="Arial"/>
          <w:sz w:val="24"/>
          <w:szCs w:val="24"/>
        </w:rPr>
      </w:pPr>
    </w:p>
    <w:p w:rsidR="00997A34" w:rsidRDefault="00997A34" w:rsidP="00B21BA0">
      <w:pPr>
        <w:jc w:val="both"/>
        <w:rPr>
          <w:rFonts w:cs="Arial"/>
          <w:sz w:val="24"/>
          <w:szCs w:val="24"/>
        </w:rPr>
      </w:pPr>
    </w:p>
    <w:p w:rsidR="00B21BA0" w:rsidRPr="00190C70" w:rsidRDefault="00B21BA0" w:rsidP="00B21BA0">
      <w:pPr>
        <w:jc w:val="both"/>
        <w:rPr>
          <w:rFonts w:cs="Arial"/>
          <w:sz w:val="24"/>
          <w:szCs w:val="24"/>
        </w:rPr>
      </w:pPr>
      <w:r w:rsidRPr="00190C70">
        <w:rPr>
          <w:rFonts w:cs="Arial"/>
          <w:noProof/>
          <w:sz w:val="24"/>
          <w:szCs w:val="24"/>
        </w:rPr>
        <w:lastRenderedPageBreak/>
        <w:drawing>
          <wp:inline distT="0" distB="0" distL="0" distR="0" wp14:anchorId="4A934C0C" wp14:editId="0FD93CCF">
            <wp:extent cx="5398770" cy="2799080"/>
            <wp:effectExtent l="0" t="0" r="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8770" cy="2799080"/>
                    </a:xfrm>
                    <a:prstGeom prst="rect">
                      <a:avLst/>
                    </a:prstGeom>
                    <a:noFill/>
                    <a:ln>
                      <a:noFill/>
                    </a:ln>
                  </pic:spPr>
                </pic:pic>
              </a:graphicData>
            </a:graphic>
          </wp:inline>
        </w:drawing>
      </w:r>
    </w:p>
    <w:p w:rsidR="00997A34" w:rsidRDefault="00997A34" w:rsidP="00B62FE6">
      <w:pPr>
        <w:jc w:val="both"/>
        <w:rPr>
          <w:rFonts w:cs="Arial"/>
          <w:sz w:val="24"/>
          <w:szCs w:val="24"/>
        </w:rPr>
      </w:pPr>
    </w:p>
    <w:p w:rsidR="00B21BA0" w:rsidRDefault="00B21BA0" w:rsidP="00997A34">
      <w:pPr>
        <w:spacing w:line="360" w:lineRule="auto"/>
        <w:jc w:val="both"/>
        <w:rPr>
          <w:rFonts w:cs="Arial"/>
          <w:sz w:val="24"/>
          <w:szCs w:val="24"/>
        </w:rPr>
      </w:pPr>
      <w:r w:rsidRPr="00190C70">
        <w:rPr>
          <w:rFonts w:cs="Arial"/>
          <w:sz w:val="24"/>
          <w:szCs w:val="24"/>
        </w:rPr>
        <w:t xml:space="preserve">Sectores homogéneos sobre los cuales se realiza la investigación de precios de compra venta de las parcelas o solares, información que mediante un proceso de comparación de precios en condiciones similares u homogéneas, serán la base para la elaboración del plano del valor de la tierra; sobre el cual se determine el valor base por ejes, </w:t>
      </w:r>
      <w:proofErr w:type="spellStart"/>
      <w:r w:rsidRPr="00190C70">
        <w:rPr>
          <w:rFonts w:cs="Arial"/>
          <w:sz w:val="24"/>
          <w:szCs w:val="24"/>
        </w:rPr>
        <w:t>ó</w:t>
      </w:r>
      <w:proofErr w:type="spellEnd"/>
      <w:r w:rsidRPr="00190C70">
        <w:rPr>
          <w:rFonts w:cs="Arial"/>
          <w:sz w:val="24"/>
          <w:szCs w:val="24"/>
        </w:rPr>
        <w:t xml:space="preserve"> por sectores homogéneos. E</w:t>
      </w:r>
      <w:r w:rsidR="009668EC" w:rsidRPr="00190C70">
        <w:rPr>
          <w:rFonts w:cs="Arial"/>
          <w:sz w:val="24"/>
          <w:szCs w:val="24"/>
        </w:rPr>
        <w:t>xpresado en el cuadro siguiente:</w:t>
      </w:r>
      <w:r w:rsidRPr="00190C70">
        <w:rPr>
          <w:rFonts w:cs="Arial"/>
          <w:sz w:val="24"/>
          <w:szCs w:val="24"/>
        </w:rPr>
        <w:t xml:space="preserve"> </w:t>
      </w:r>
    </w:p>
    <w:p w:rsidR="00584C26" w:rsidRDefault="00584C26" w:rsidP="00B62FE6">
      <w:pPr>
        <w:jc w:val="both"/>
        <w:rPr>
          <w:rFonts w:cs="Arial"/>
          <w:sz w:val="24"/>
          <w:szCs w:val="24"/>
        </w:rPr>
      </w:pPr>
    </w:p>
    <w:p w:rsidR="00584C26" w:rsidRDefault="00584C26" w:rsidP="00B62FE6">
      <w:pPr>
        <w:jc w:val="both"/>
        <w:rPr>
          <w:rFonts w:cs="Arial"/>
          <w:sz w:val="24"/>
          <w:szCs w:val="24"/>
        </w:rPr>
      </w:pPr>
    </w:p>
    <w:p w:rsidR="00584C26" w:rsidRDefault="00584C26" w:rsidP="00B62FE6">
      <w:pPr>
        <w:jc w:val="both"/>
        <w:rPr>
          <w:rFonts w:cs="Arial"/>
          <w:sz w:val="24"/>
          <w:szCs w:val="24"/>
        </w:rPr>
      </w:pPr>
    </w:p>
    <w:p w:rsidR="00584C26" w:rsidRDefault="00584C26" w:rsidP="00B62FE6">
      <w:pPr>
        <w:jc w:val="both"/>
        <w:rPr>
          <w:rFonts w:cs="Arial"/>
          <w:sz w:val="24"/>
          <w:szCs w:val="24"/>
        </w:rPr>
      </w:pPr>
    </w:p>
    <w:p w:rsidR="00584C26" w:rsidRDefault="00584C26" w:rsidP="00B62FE6">
      <w:pPr>
        <w:jc w:val="both"/>
        <w:rPr>
          <w:rFonts w:cs="Arial"/>
          <w:sz w:val="24"/>
          <w:szCs w:val="24"/>
        </w:rPr>
      </w:pPr>
    </w:p>
    <w:p w:rsidR="00584C26" w:rsidRPr="00190C70" w:rsidRDefault="00584C26" w:rsidP="00B62FE6">
      <w:pPr>
        <w:jc w:val="both"/>
        <w:rPr>
          <w:rFonts w:cs="Arial"/>
          <w:sz w:val="24"/>
          <w:szCs w:val="24"/>
        </w:rPr>
      </w:pPr>
    </w:p>
    <w:p w:rsidR="00B21BA0" w:rsidRPr="00190C70" w:rsidRDefault="00B21BA0" w:rsidP="00B62FE6">
      <w:pPr>
        <w:pStyle w:val="Sinespaciado"/>
        <w:jc w:val="center"/>
        <w:rPr>
          <w:rFonts w:cs="Arial"/>
          <w:b/>
          <w:sz w:val="24"/>
          <w:szCs w:val="24"/>
        </w:rPr>
      </w:pPr>
      <w:r w:rsidRPr="00190C70">
        <w:rPr>
          <w:rFonts w:cs="Arial"/>
          <w:b/>
          <w:sz w:val="24"/>
          <w:szCs w:val="24"/>
        </w:rPr>
        <w:lastRenderedPageBreak/>
        <w:t>Eje comercial: 250,00 dólares el metro cuadrado.</w:t>
      </w:r>
    </w:p>
    <w:p w:rsidR="00B21BA0" w:rsidRPr="00190C70" w:rsidRDefault="00B21BA0" w:rsidP="00B62FE6">
      <w:pPr>
        <w:pStyle w:val="Sinespaciado"/>
        <w:jc w:val="center"/>
        <w:rPr>
          <w:rFonts w:cs="Arial"/>
          <w:b/>
          <w:sz w:val="24"/>
          <w:szCs w:val="24"/>
        </w:rPr>
      </w:pPr>
      <w:r w:rsidRPr="00190C70">
        <w:rPr>
          <w:rFonts w:cs="Arial"/>
          <w:b/>
          <w:sz w:val="24"/>
          <w:szCs w:val="24"/>
        </w:rPr>
        <w:t>PRECIO POR SECTOR HOMOGENEO:</w:t>
      </w:r>
    </w:p>
    <w:p w:rsidR="00B21BA0" w:rsidRPr="00190C70" w:rsidRDefault="00B21BA0" w:rsidP="00B62FE6">
      <w:pPr>
        <w:pStyle w:val="Sinespaciado"/>
        <w:jc w:val="center"/>
        <w:rPr>
          <w:rFonts w:cs="Arial"/>
          <w:b/>
          <w:sz w:val="24"/>
          <w:szCs w:val="24"/>
        </w:rPr>
      </w:pPr>
      <w:r w:rsidRPr="00190C70">
        <w:rPr>
          <w:rFonts w:cs="Arial"/>
          <w:b/>
          <w:sz w:val="24"/>
          <w:szCs w:val="24"/>
        </w:rPr>
        <w:t>VALOR M2 DE TERRENO CATASTRO 201</w:t>
      </w:r>
      <w:r w:rsidR="0051648A" w:rsidRPr="00190C70">
        <w:rPr>
          <w:rFonts w:cs="Arial"/>
          <w:b/>
          <w:sz w:val="24"/>
          <w:szCs w:val="24"/>
        </w:rPr>
        <w:t>8</w:t>
      </w:r>
      <w:r w:rsidRPr="00190C70">
        <w:rPr>
          <w:rFonts w:cs="Arial"/>
          <w:b/>
          <w:sz w:val="24"/>
          <w:szCs w:val="24"/>
        </w:rPr>
        <w:t>-201</w:t>
      </w:r>
      <w:r w:rsidR="0051648A" w:rsidRPr="00190C70">
        <w:rPr>
          <w:rFonts w:cs="Arial"/>
          <w:b/>
          <w:sz w:val="24"/>
          <w:szCs w:val="24"/>
        </w:rPr>
        <w:t>9</w:t>
      </w:r>
      <w:r w:rsidRPr="00190C70">
        <w:rPr>
          <w:rFonts w:cs="Arial"/>
          <w:b/>
          <w:sz w:val="24"/>
          <w:szCs w:val="24"/>
        </w:rPr>
        <w:t xml:space="preserve">  </w:t>
      </w:r>
    </w:p>
    <w:p w:rsidR="00B21BA0" w:rsidRPr="00190C70" w:rsidRDefault="00B21BA0" w:rsidP="00B62FE6">
      <w:pPr>
        <w:pStyle w:val="Sinespaciado"/>
        <w:jc w:val="center"/>
        <w:rPr>
          <w:rFonts w:cs="Arial"/>
          <w:b/>
          <w:sz w:val="24"/>
          <w:szCs w:val="24"/>
        </w:rPr>
      </w:pPr>
      <w:r w:rsidRPr="00190C70">
        <w:rPr>
          <w:rFonts w:cs="Arial"/>
          <w:b/>
          <w:sz w:val="24"/>
          <w:szCs w:val="24"/>
        </w:rPr>
        <w:t>AREA URBANA DE GUARANDA</w:t>
      </w:r>
    </w:p>
    <w:tbl>
      <w:tblPr>
        <w:tblW w:w="6920" w:type="dxa"/>
        <w:jc w:val="center"/>
        <w:tblCellMar>
          <w:left w:w="70" w:type="dxa"/>
          <w:right w:w="70" w:type="dxa"/>
        </w:tblCellMar>
        <w:tblLook w:val="04A0" w:firstRow="1" w:lastRow="0" w:firstColumn="1" w:lastColumn="0" w:noHBand="0" w:noVBand="1"/>
      </w:tblPr>
      <w:tblGrid>
        <w:gridCol w:w="1619"/>
        <w:gridCol w:w="1290"/>
        <w:gridCol w:w="1105"/>
        <w:gridCol w:w="1197"/>
        <w:gridCol w:w="1105"/>
        <w:gridCol w:w="604"/>
      </w:tblGrid>
      <w:tr w:rsidR="00B21BA0" w:rsidRPr="00190C70" w:rsidTr="009F6F46">
        <w:trPr>
          <w:trHeight w:val="645"/>
          <w:jc w:val="center"/>
        </w:trPr>
        <w:tc>
          <w:tcPr>
            <w:tcW w:w="1619" w:type="dxa"/>
            <w:tcBorders>
              <w:top w:val="single" w:sz="8" w:space="0" w:color="auto"/>
              <w:left w:val="single" w:sz="8" w:space="0" w:color="auto"/>
              <w:bottom w:val="nil"/>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b/>
                <w:bCs/>
                <w:color w:val="000000"/>
                <w:sz w:val="24"/>
                <w:szCs w:val="24"/>
              </w:rPr>
            </w:pPr>
            <w:r w:rsidRPr="00190C70">
              <w:rPr>
                <w:rFonts w:eastAsia="Times New Roman" w:cs="Arial"/>
                <w:b/>
                <w:bCs/>
                <w:color w:val="000000"/>
                <w:sz w:val="24"/>
                <w:szCs w:val="24"/>
              </w:rPr>
              <w:t>SECTOR HOMOGENEO</w:t>
            </w:r>
          </w:p>
        </w:tc>
        <w:tc>
          <w:tcPr>
            <w:tcW w:w="1290" w:type="dxa"/>
            <w:tcBorders>
              <w:top w:val="single" w:sz="8" w:space="0" w:color="auto"/>
              <w:left w:val="nil"/>
              <w:bottom w:val="single" w:sz="4" w:space="0" w:color="auto"/>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b/>
                <w:bCs/>
                <w:color w:val="000000"/>
                <w:sz w:val="24"/>
                <w:szCs w:val="24"/>
              </w:rPr>
            </w:pPr>
            <w:r w:rsidRPr="00190C70">
              <w:rPr>
                <w:rFonts w:eastAsia="Times New Roman" w:cs="Arial"/>
                <w:b/>
                <w:bCs/>
                <w:color w:val="000000"/>
                <w:sz w:val="24"/>
                <w:szCs w:val="24"/>
              </w:rPr>
              <w:t>LIMITE SUPERIOR</w:t>
            </w:r>
          </w:p>
        </w:tc>
        <w:tc>
          <w:tcPr>
            <w:tcW w:w="1105" w:type="dxa"/>
            <w:tcBorders>
              <w:top w:val="single" w:sz="8" w:space="0" w:color="auto"/>
              <w:left w:val="nil"/>
              <w:bottom w:val="single" w:sz="4" w:space="0" w:color="auto"/>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b/>
                <w:bCs/>
                <w:color w:val="000000"/>
                <w:sz w:val="24"/>
                <w:szCs w:val="24"/>
              </w:rPr>
            </w:pPr>
            <w:r w:rsidRPr="00190C70">
              <w:rPr>
                <w:rFonts w:eastAsia="Times New Roman" w:cs="Arial"/>
                <w:b/>
                <w:bCs/>
                <w:color w:val="000000"/>
                <w:sz w:val="24"/>
                <w:szCs w:val="24"/>
              </w:rPr>
              <w:t>VALOR M2</w:t>
            </w:r>
          </w:p>
        </w:tc>
        <w:tc>
          <w:tcPr>
            <w:tcW w:w="1197" w:type="dxa"/>
            <w:tcBorders>
              <w:top w:val="single" w:sz="8" w:space="0" w:color="auto"/>
              <w:left w:val="nil"/>
              <w:bottom w:val="single" w:sz="4" w:space="0" w:color="auto"/>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b/>
                <w:bCs/>
                <w:color w:val="000000"/>
                <w:sz w:val="24"/>
                <w:szCs w:val="24"/>
              </w:rPr>
            </w:pPr>
            <w:r w:rsidRPr="00190C70">
              <w:rPr>
                <w:rFonts w:eastAsia="Times New Roman" w:cs="Arial"/>
                <w:b/>
                <w:bCs/>
                <w:color w:val="000000"/>
                <w:sz w:val="24"/>
                <w:szCs w:val="24"/>
              </w:rPr>
              <w:t>LIMITE INFERIOR</w:t>
            </w:r>
          </w:p>
        </w:tc>
        <w:tc>
          <w:tcPr>
            <w:tcW w:w="1105" w:type="dxa"/>
            <w:tcBorders>
              <w:top w:val="single" w:sz="8" w:space="0" w:color="auto"/>
              <w:left w:val="nil"/>
              <w:bottom w:val="single" w:sz="4" w:space="0" w:color="auto"/>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b/>
                <w:bCs/>
                <w:color w:val="000000"/>
                <w:sz w:val="24"/>
                <w:szCs w:val="24"/>
              </w:rPr>
            </w:pPr>
            <w:r w:rsidRPr="00190C70">
              <w:rPr>
                <w:rFonts w:eastAsia="Times New Roman" w:cs="Arial"/>
                <w:b/>
                <w:bCs/>
                <w:color w:val="000000"/>
                <w:sz w:val="24"/>
                <w:szCs w:val="24"/>
              </w:rPr>
              <w:t>VALOR M2</w:t>
            </w:r>
          </w:p>
        </w:tc>
        <w:tc>
          <w:tcPr>
            <w:tcW w:w="604" w:type="dxa"/>
            <w:tcBorders>
              <w:top w:val="single" w:sz="8" w:space="0" w:color="auto"/>
              <w:left w:val="nil"/>
              <w:bottom w:val="single" w:sz="4" w:space="0" w:color="auto"/>
              <w:right w:val="single" w:sz="8"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b/>
                <w:bCs/>
                <w:color w:val="000000"/>
                <w:sz w:val="24"/>
                <w:szCs w:val="24"/>
              </w:rPr>
            </w:pPr>
            <w:r w:rsidRPr="00190C70">
              <w:rPr>
                <w:rFonts w:eastAsia="Times New Roman" w:cs="Arial"/>
                <w:b/>
                <w:bCs/>
                <w:color w:val="000000"/>
                <w:sz w:val="24"/>
                <w:szCs w:val="24"/>
              </w:rPr>
              <w:t>NO. MZ</w:t>
            </w:r>
          </w:p>
        </w:tc>
      </w:tr>
      <w:tr w:rsidR="00B21BA0" w:rsidRPr="00190C70" w:rsidTr="009F6F46">
        <w:trPr>
          <w:trHeight w:val="300"/>
          <w:jc w:val="center"/>
        </w:trPr>
        <w:tc>
          <w:tcPr>
            <w:tcW w:w="1619" w:type="dxa"/>
            <w:tcBorders>
              <w:top w:val="single" w:sz="4" w:space="0" w:color="auto"/>
              <w:left w:val="single" w:sz="8" w:space="0" w:color="auto"/>
              <w:bottom w:val="nil"/>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w:t>
            </w:r>
          </w:p>
        </w:tc>
        <w:tc>
          <w:tcPr>
            <w:tcW w:w="1290"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250</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200</w:t>
            </w:r>
          </w:p>
        </w:tc>
        <w:tc>
          <w:tcPr>
            <w:tcW w:w="1197"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190</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180</w:t>
            </w:r>
          </w:p>
        </w:tc>
        <w:tc>
          <w:tcPr>
            <w:tcW w:w="604" w:type="dxa"/>
            <w:vMerge w:val="restart"/>
            <w:tcBorders>
              <w:top w:val="nil"/>
              <w:left w:val="single" w:sz="4" w:space="0" w:color="auto"/>
              <w:bottom w:val="single" w:sz="4" w:space="0" w:color="000000"/>
              <w:right w:val="single" w:sz="8"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39</w:t>
            </w:r>
          </w:p>
        </w:tc>
      </w:tr>
      <w:tr w:rsidR="00B21BA0" w:rsidRPr="00190C70" w:rsidTr="009F6F46">
        <w:trPr>
          <w:trHeight w:val="300"/>
          <w:jc w:val="center"/>
        </w:trPr>
        <w:tc>
          <w:tcPr>
            <w:tcW w:w="1619" w:type="dxa"/>
            <w:tcBorders>
              <w:top w:val="nil"/>
              <w:left w:val="single" w:sz="8" w:space="0" w:color="auto"/>
              <w:bottom w:val="single" w:sz="4" w:space="0" w:color="auto"/>
              <w:right w:val="single" w:sz="4" w:space="0" w:color="auto"/>
            </w:tcBorders>
            <w:shd w:val="clear" w:color="000000" w:fill="FF0000"/>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ROJO</w:t>
            </w:r>
          </w:p>
        </w:tc>
        <w:tc>
          <w:tcPr>
            <w:tcW w:w="1290"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97"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604" w:type="dxa"/>
            <w:vMerge/>
            <w:tcBorders>
              <w:top w:val="nil"/>
              <w:left w:val="single" w:sz="4" w:space="0" w:color="auto"/>
              <w:bottom w:val="single" w:sz="4" w:space="0" w:color="000000"/>
              <w:right w:val="single" w:sz="8"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r>
      <w:tr w:rsidR="00B21BA0" w:rsidRPr="00190C70" w:rsidTr="009F6F46">
        <w:trPr>
          <w:trHeight w:val="300"/>
          <w:jc w:val="center"/>
        </w:trPr>
        <w:tc>
          <w:tcPr>
            <w:tcW w:w="1619" w:type="dxa"/>
            <w:tcBorders>
              <w:top w:val="nil"/>
              <w:left w:val="single" w:sz="8" w:space="0" w:color="auto"/>
              <w:bottom w:val="nil"/>
              <w:right w:val="nil"/>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2</w:t>
            </w:r>
          </w:p>
        </w:tc>
        <w:tc>
          <w:tcPr>
            <w:tcW w:w="1290"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180</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130</w:t>
            </w:r>
          </w:p>
        </w:tc>
        <w:tc>
          <w:tcPr>
            <w:tcW w:w="1197"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110</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90</w:t>
            </w:r>
          </w:p>
        </w:tc>
        <w:tc>
          <w:tcPr>
            <w:tcW w:w="604" w:type="dxa"/>
            <w:vMerge w:val="restart"/>
            <w:tcBorders>
              <w:top w:val="nil"/>
              <w:left w:val="single" w:sz="4" w:space="0" w:color="auto"/>
              <w:bottom w:val="single" w:sz="4" w:space="0" w:color="000000"/>
              <w:right w:val="single" w:sz="8"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142</w:t>
            </w:r>
          </w:p>
        </w:tc>
      </w:tr>
      <w:tr w:rsidR="00B21BA0" w:rsidRPr="00190C70" w:rsidTr="009F6F46">
        <w:trPr>
          <w:trHeight w:val="300"/>
          <w:jc w:val="center"/>
        </w:trPr>
        <w:tc>
          <w:tcPr>
            <w:tcW w:w="1619" w:type="dxa"/>
            <w:tcBorders>
              <w:top w:val="nil"/>
              <w:left w:val="single" w:sz="8" w:space="0" w:color="auto"/>
              <w:bottom w:val="single" w:sz="4" w:space="0" w:color="auto"/>
              <w:right w:val="nil"/>
            </w:tcBorders>
            <w:shd w:val="clear" w:color="000000" w:fill="4F81BD"/>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AZUL</w:t>
            </w:r>
          </w:p>
        </w:tc>
        <w:tc>
          <w:tcPr>
            <w:tcW w:w="1290"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97"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604" w:type="dxa"/>
            <w:vMerge/>
            <w:tcBorders>
              <w:top w:val="nil"/>
              <w:left w:val="single" w:sz="4" w:space="0" w:color="auto"/>
              <w:bottom w:val="single" w:sz="4" w:space="0" w:color="000000"/>
              <w:right w:val="single" w:sz="8"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r>
      <w:tr w:rsidR="00B21BA0" w:rsidRPr="00190C70" w:rsidTr="009F6F46">
        <w:trPr>
          <w:trHeight w:val="300"/>
          <w:jc w:val="center"/>
        </w:trPr>
        <w:tc>
          <w:tcPr>
            <w:tcW w:w="1619" w:type="dxa"/>
            <w:tcBorders>
              <w:top w:val="nil"/>
              <w:left w:val="single" w:sz="8" w:space="0" w:color="auto"/>
              <w:bottom w:val="nil"/>
              <w:right w:val="nil"/>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3</w:t>
            </w:r>
          </w:p>
        </w:tc>
        <w:tc>
          <w:tcPr>
            <w:tcW w:w="1290"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110</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90</w:t>
            </w:r>
          </w:p>
        </w:tc>
        <w:tc>
          <w:tcPr>
            <w:tcW w:w="1197"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70</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80</w:t>
            </w:r>
          </w:p>
        </w:tc>
        <w:tc>
          <w:tcPr>
            <w:tcW w:w="604" w:type="dxa"/>
            <w:vMerge w:val="restart"/>
            <w:tcBorders>
              <w:top w:val="nil"/>
              <w:left w:val="single" w:sz="4" w:space="0" w:color="auto"/>
              <w:bottom w:val="single" w:sz="4" w:space="0" w:color="000000"/>
              <w:right w:val="single" w:sz="8"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60</w:t>
            </w:r>
          </w:p>
        </w:tc>
      </w:tr>
      <w:tr w:rsidR="00B21BA0" w:rsidRPr="00190C70" w:rsidTr="009F6F46">
        <w:trPr>
          <w:trHeight w:val="300"/>
          <w:jc w:val="center"/>
        </w:trPr>
        <w:tc>
          <w:tcPr>
            <w:tcW w:w="1619" w:type="dxa"/>
            <w:tcBorders>
              <w:top w:val="nil"/>
              <w:left w:val="single" w:sz="8" w:space="0" w:color="auto"/>
              <w:bottom w:val="single" w:sz="4" w:space="0" w:color="auto"/>
              <w:right w:val="nil"/>
            </w:tcBorders>
            <w:shd w:val="clear" w:color="000000" w:fill="76933C"/>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VERDE</w:t>
            </w:r>
          </w:p>
        </w:tc>
        <w:tc>
          <w:tcPr>
            <w:tcW w:w="1290"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97"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604" w:type="dxa"/>
            <w:vMerge/>
            <w:tcBorders>
              <w:top w:val="nil"/>
              <w:left w:val="single" w:sz="4" w:space="0" w:color="auto"/>
              <w:bottom w:val="single" w:sz="4" w:space="0" w:color="000000"/>
              <w:right w:val="single" w:sz="8"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r>
      <w:tr w:rsidR="00B21BA0" w:rsidRPr="00190C70" w:rsidTr="009F6F46">
        <w:trPr>
          <w:trHeight w:val="300"/>
          <w:jc w:val="center"/>
        </w:trPr>
        <w:tc>
          <w:tcPr>
            <w:tcW w:w="1619" w:type="dxa"/>
            <w:tcBorders>
              <w:top w:val="nil"/>
              <w:left w:val="single" w:sz="8" w:space="0" w:color="auto"/>
              <w:bottom w:val="nil"/>
              <w:right w:val="nil"/>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4</w:t>
            </w:r>
          </w:p>
        </w:tc>
        <w:tc>
          <w:tcPr>
            <w:tcW w:w="1290"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60</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60</w:t>
            </w:r>
          </w:p>
        </w:tc>
        <w:tc>
          <w:tcPr>
            <w:tcW w:w="1197"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60</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60</w:t>
            </w:r>
          </w:p>
        </w:tc>
        <w:tc>
          <w:tcPr>
            <w:tcW w:w="604" w:type="dxa"/>
            <w:vMerge w:val="restart"/>
            <w:tcBorders>
              <w:top w:val="nil"/>
              <w:left w:val="single" w:sz="4" w:space="0" w:color="auto"/>
              <w:bottom w:val="single" w:sz="4" w:space="0" w:color="000000"/>
              <w:right w:val="single" w:sz="8"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41</w:t>
            </w:r>
          </w:p>
        </w:tc>
      </w:tr>
      <w:tr w:rsidR="00B21BA0" w:rsidRPr="00190C70" w:rsidTr="009F6F46">
        <w:trPr>
          <w:trHeight w:val="300"/>
          <w:jc w:val="center"/>
        </w:trPr>
        <w:tc>
          <w:tcPr>
            <w:tcW w:w="1619" w:type="dxa"/>
            <w:tcBorders>
              <w:top w:val="nil"/>
              <w:left w:val="single" w:sz="8" w:space="0" w:color="auto"/>
              <w:bottom w:val="single" w:sz="4" w:space="0" w:color="auto"/>
              <w:right w:val="nil"/>
            </w:tcBorders>
            <w:shd w:val="clear" w:color="000000" w:fill="974706"/>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CAFÉ</w:t>
            </w:r>
          </w:p>
        </w:tc>
        <w:tc>
          <w:tcPr>
            <w:tcW w:w="1290"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97"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604" w:type="dxa"/>
            <w:vMerge/>
            <w:tcBorders>
              <w:top w:val="nil"/>
              <w:left w:val="single" w:sz="4" w:space="0" w:color="auto"/>
              <w:bottom w:val="single" w:sz="4" w:space="0" w:color="000000"/>
              <w:right w:val="single" w:sz="8"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r>
      <w:tr w:rsidR="00B21BA0" w:rsidRPr="00190C70" w:rsidTr="009F6F46">
        <w:trPr>
          <w:trHeight w:val="300"/>
          <w:jc w:val="center"/>
        </w:trPr>
        <w:tc>
          <w:tcPr>
            <w:tcW w:w="1619" w:type="dxa"/>
            <w:tcBorders>
              <w:top w:val="nil"/>
              <w:left w:val="single" w:sz="8" w:space="0" w:color="auto"/>
              <w:bottom w:val="nil"/>
              <w:right w:val="nil"/>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5</w:t>
            </w:r>
          </w:p>
        </w:tc>
        <w:tc>
          <w:tcPr>
            <w:tcW w:w="1290"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40</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40</w:t>
            </w:r>
          </w:p>
        </w:tc>
        <w:tc>
          <w:tcPr>
            <w:tcW w:w="1197"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40</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40</w:t>
            </w:r>
          </w:p>
        </w:tc>
        <w:tc>
          <w:tcPr>
            <w:tcW w:w="604" w:type="dxa"/>
            <w:vMerge w:val="restart"/>
            <w:tcBorders>
              <w:top w:val="nil"/>
              <w:left w:val="single" w:sz="4" w:space="0" w:color="auto"/>
              <w:bottom w:val="single" w:sz="4" w:space="0" w:color="000000"/>
              <w:right w:val="single" w:sz="8"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44</w:t>
            </w:r>
          </w:p>
        </w:tc>
      </w:tr>
      <w:tr w:rsidR="00B21BA0" w:rsidRPr="00190C70" w:rsidTr="009F6F46">
        <w:trPr>
          <w:trHeight w:val="300"/>
          <w:jc w:val="center"/>
        </w:trPr>
        <w:tc>
          <w:tcPr>
            <w:tcW w:w="1619" w:type="dxa"/>
            <w:tcBorders>
              <w:top w:val="nil"/>
              <w:left w:val="single" w:sz="8" w:space="0" w:color="auto"/>
              <w:bottom w:val="single" w:sz="4" w:space="0" w:color="auto"/>
              <w:right w:val="nil"/>
            </w:tcBorders>
            <w:shd w:val="clear" w:color="000000" w:fill="F79646"/>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TOMATE</w:t>
            </w:r>
          </w:p>
        </w:tc>
        <w:tc>
          <w:tcPr>
            <w:tcW w:w="1290"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97"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604" w:type="dxa"/>
            <w:vMerge/>
            <w:tcBorders>
              <w:top w:val="nil"/>
              <w:left w:val="single" w:sz="4" w:space="0" w:color="auto"/>
              <w:bottom w:val="single" w:sz="4" w:space="0" w:color="000000"/>
              <w:right w:val="single" w:sz="8"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r>
      <w:tr w:rsidR="00B21BA0" w:rsidRPr="00190C70" w:rsidTr="009F6F46">
        <w:trPr>
          <w:trHeight w:val="300"/>
          <w:jc w:val="center"/>
        </w:trPr>
        <w:tc>
          <w:tcPr>
            <w:tcW w:w="1619" w:type="dxa"/>
            <w:tcBorders>
              <w:top w:val="nil"/>
              <w:left w:val="single" w:sz="8" w:space="0" w:color="auto"/>
              <w:bottom w:val="nil"/>
              <w:right w:val="nil"/>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6</w:t>
            </w:r>
          </w:p>
        </w:tc>
        <w:tc>
          <w:tcPr>
            <w:tcW w:w="1290"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15</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15</w:t>
            </w:r>
          </w:p>
        </w:tc>
        <w:tc>
          <w:tcPr>
            <w:tcW w:w="1197"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15</w:t>
            </w:r>
          </w:p>
        </w:tc>
        <w:tc>
          <w:tcPr>
            <w:tcW w:w="1105" w:type="dxa"/>
            <w:vMerge w:val="restart"/>
            <w:tcBorders>
              <w:top w:val="nil"/>
              <w:left w:val="single" w:sz="4" w:space="0" w:color="auto"/>
              <w:bottom w:val="single" w:sz="4"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15</w:t>
            </w:r>
          </w:p>
        </w:tc>
        <w:tc>
          <w:tcPr>
            <w:tcW w:w="604" w:type="dxa"/>
            <w:vMerge w:val="restart"/>
            <w:tcBorders>
              <w:top w:val="nil"/>
              <w:left w:val="single" w:sz="4" w:space="0" w:color="auto"/>
              <w:bottom w:val="single" w:sz="4" w:space="0" w:color="000000"/>
              <w:right w:val="single" w:sz="8"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34</w:t>
            </w:r>
          </w:p>
        </w:tc>
      </w:tr>
      <w:tr w:rsidR="00B21BA0" w:rsidRPr="00190C70" w:rsidTr="009F6F46">
        <w:trPr>
          <w:trHeight w:val="300"/>
          <w:jc w:val="center"/>
        </w:trPr>
        <w:tc>
          <w:tcPr>
            <w:tcW w:w="1619" w:type="dxa"/>
            <w:tcBorders>
              <w:top w:val="nil"/>
              <w:left w:val="single" w:sz="8" w:space="0" w:color="auto"/>
              <w:bottom w:val="single" w:sz="4" w:space="0" w:color="auto"/>
              <w:right w:val="nil"/>
            </w:tcBorders>
            <w:shd w:val="clear" w:color="000000" w:fill="7030A0"/>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MORADO</w:t>
            </w:r>
          </w:p>
        </w:tc>
        <w:tc>
          <w:tcPr>
            <w:tcW w:w="1290"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97"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4"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604" w:type="dxa"/>
            <w:vMerge/>
            <w:tcBorders>
              <w:top w:val="nil"/>
              <w:left w:val="single" w:sz="4" w:space="0" w:color="auto"/>
              <w:bottom w:val="single" w:sz="4" w:space="0" w:color="000000"/>
              <w:right w:val="single" w:sz="8"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r>
      <w:tr w:rsidR="00B21BA0" w:rsidRPr="00190C70" w:rsidTr="009F6F46">
        <w:trPr>
          <w:trHeight w:val="300"/>
          <w:jc w:val="center"/>
        </w:trPr>
        <w:tc>
          <w:tcPr>
            <w:tcW w:w="1619" w:type="dxa"/>
            <w:tcBorders>
              <w:top w:val="nil"/>
              <w:left w:val="single" w:sz="8" w:space="0" w:color="auto"/>
              <w:bottom w:val="nil"/>
              <w:right w:val="nil"/>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7</w:t>
            </w:r>
          </w:p>
        </w:tc>
        <w:tc>
          <w:tcPr>
            <w:tcW w:w="1290" w:type="dxa"/>
            <w:vMerge w:val="restart"/>
            <w:tcBorders>
              <w:top w:val="nil"/>
              <w:left w:val="single" w:sz="4" w:space="0" w:color="auto"/>
              <w:bottom w:val="single" w:sz="8"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10</w:t>
            </w:r>
          </w:p>
        </w:tc>
        <w:tc>
          <w:tcPr>
            <w:tcW w:w="1105" w:type="dxa"/>
            <w:vMerge w:val="restart"/>
            <w:tcBorders>
              <w:top w:val="nil"/>
              <w:left w:val="single" w:sz="4" w:space="0" w:color="auto"/>
              <w:bottom w:val="single" w:sz="8"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10</w:t>
            </w:r>
          </w:p>
        </w:tc>
        <w:tc>
          <w:tcPr>
            <w:tcW w:w="1197" w:type="dxa"/>
            <w:vMerge w:val="restart"/>
            <w:tcBorders>
              <w:top w:val="nil"/>
              <w:left w:val="single" w:sz="4" w:space="0" w:color="auto"/>
              <w:bottom w:val="single" w:sz="8"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10</w:t>
            </w:r>
          </w:p>
        </w:tc>
        <w:tc>
          <w:tcPr>
            <w:tcW w:w="1105" w:type="dxa"/>
            <w:vMerge w:val="restart"/>
            <w:tcBorders>
              <w:top w:val="nil"/>
              <w:left w:val="single" w:sz="4" w:space="0" w:color="auto"/>
              <w:bottom w:val="single" w:sz="8" w:space="0" w:color="000000"/>
              <w:right w:val="single" w:sz="4"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10</w:t>
            </w:r>
          </w:p>
        </w:tc>
        <w:tc>
          <w:tcPr>
            <w:tcW w:w="604" w:type="dxa"/>
            <w:vMerge w:val="restart"/>
            <w:tcBorders>
              <w:top w:val="nil"/>
              <w:left w:val="single" w:sz="4" w:space="0" w:color="auto"/>
              <w:bottom w:val="single" w:sz="8" w:space="0" w:color="000000"/>
              <w:right w:val="single" w:sz="8" w:space="0" w:color="auto"/>
            </w:tcBorders>
            <w:shd w:val="clear" w:color="auto" w:fill="auto"/>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18</w:t>
            </w:r>
          </w:p>
        </w:tc>
      </w:tr>
      <w:tr w:rsidR="00B21BA0" w:rsidRPr="00190C70" w:rsidTr="009F6F46">
        <w:trPr>
          <w:trHeight w:val="315"/>
          <w:jc w:val="center"/>
        </w:trPr>
        <w:tc>
          <w:tcPr>
            <w:tcW w:w="1619" w:type="dxa"/>
            <w:tcBorders>
              <w:top w:val="nil"/>
              <w:left w:val="single" w:sz="8" w:space="0" w:color="auto"/>
              <w:bottom w:val="single" w:sz="8" w:space="0" w:color="auto"/>
              <w:right w:val="nil"/>
            </w:tcBorders>
            <w:shd w:val="clear" w:color="000000" w:fill="FFFF00"/>
            <w:noWrap/>
            <w:vAlign w:val="bottom"/>
            <w:hideMark/>
          </w:tcPr>
          <w:p w:rsidR="00B21BA0" w:rsidRPr="00190C70" w:rsidRDefault="00B21BA0" w:rsidP="00BE7BF1">
            <w:pPr>
              <w:spacing w:after="0" w:line="240" w:lineRule="auto"/>
              <w:jc w:val="center"/>
              <w:rPr>
                <w:rFonts w:eastAsia="Times New Roman" w:cs="Arial"/>
                <w:color w:val="000000"/>
                <w:sz w:val="24"/>
                <w:szCs w:val="24"/>
              </w:rPr>
            </w:pPr>
            <w:r w:rsidRPr="00190C70">
              <w:rPr>
                <w:rFonts w:eastAsia="Times New Roman" w:cs="Arial"/>
                <w:color w:val="000000"/>
                <w:sz w:val="24"/>
                <w:szCs w:val="24"/>
              </w:rPr>
              <w:t>AMARILLO</w:t>
            </w:r>
          </w:p>
        </w:tc>
        <w:tc>
          <w:tcPr>
            <w:tcW w:w="1290" w:type="dxa"/>
            <w:vMerge/>
            <w:tcBorders>
              <w:top w:val="nil"/>
              <w:left w:val="single" w:sz="4" w:space="0" w:color="auto"/>
              <w:bottom w:val="single" w:sz="8"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8"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97" w:type="dxa"/>
            <w:vMerge/>
            <w:tcBorders>
              <w:top w:val="nil"/>
              <w:left w:val="single" w:sz="4" w:space="0" w:color="auto"/>
              <w:bottom w:val="single" w:sz="8"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1105" w:type="dxa"/>
            <w:vMerge/>
            <w:tcBorders>
              <w:top w:val="nil"/>
              <w:left w:val="single" w:sz="4" w:space="0" w:color="auto"/>
              <w:bottom w:val="single" w:sz="8" w:space="0" w:color="000000"/>
              <w:right w:val="single" w:sz="4"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c>
          <w:tcPr>
            <w:tcW w:w="604" w:type="dxa"/>
            <w:vMerge/>
            <w:tcBorders>
              <w:top w:val="nil"/>
              <w:left w:val="single" w:sz="4" w:space="0" w:color="auto"/>
              <w:bottom w:val="single" w:sz="8" w:space="0" w:color="000000"/>
              <w:right w:val="single" w:sz="8" w:space="0" w:color="auto"/>
            </w:tcBorders>
            <w:vAlign w:val="center"/>
            <w:hideMark/>
          </w:tcPr>
          <w:p w:rsidR="00B21BA0" w:rsidRPr="00190C70" w:rsidRDefault="00B21BA0" w:rsidP="00BE7BF1">
            <w:pPr>
              <w:spacing w:after="0" w:line="240" w:lineRule="auto"/>
              <w:rPr>
                <w:rFonts w:eastAsia="Times New Roman" w:cs="Arial"/>
                <w:color w:val="000000"/>
                <w:sz w:val="24"/>
                <w:szCs w:val="24"/>
              </w:rPr>
            </w:pPr>
          </w:p>
        </w:tc>
      </w:tr>
    </w:tbl>
    <w:p w:rsidR="00B21BA0" w:rsidRPr="00190C70" w:rsidRDefault="00B21BA0" w:rsidP="00B21BA0">
      <w:pPr>
        <w:jc w:val="both"/>
        <w:rPr>
          <w:rFonts w:cs="Arial"/>
          <w:sz w:val="24"/>
          <w:szCs w:val="24"/>
        </w:rPr>
      </w:pPr>
    </w:p>
    <w:p w:rsidR="00B21BA0" w:rsidRPr="00190C70" w:rsidRDefault="00B21BA0" w:rsidP="00584C26">
      <w:pPr>
        <w:pStyle w:val="Sangradetextonormal"/>
        <w:ind w:left="0"/>
        <w:jc w:val="both"/>
        <w:rPr>
          <w:rFonts w:cs="Arial"/>
          <w:sz w:val="24"/>
          <w:szCs w:val="24"/>
          <w:lang w:val="es-MX"/>
        </w:rPr>
      </w:pPr>
      <w:r w:rsidRPr="00190C70">
        <w:rPr>
          <w:rFonts w:cs="Arial"/>
          <w:sz w:val="24"/>
          <w:szCs w:val="24"/>
          <w:lang w:val="es-MX"/>
        </w:rPr>
        <w:t>Además se considera el análisis de las características del uso del suelo y ocupación del suelo, la morfología y el equipamiento urbano en la funcionalidad urbana del cantón, resultado como los que permite establecer los sectores homogéneos de cada una de las áreas urbanas. Sobre los cuales se realiza la investigación de precios de ventas de las parcelas o solares, información que mediante un proceso de comparación de precios de condiciones similares u homogéneas, serán la base para la elaboración del plano del valor de la tierra; sobre el cual se determine el valor base por ejes, o por sectores homogéneos.</w:t>
      </w:r>
    </w:p>
    <w:p w:rsidR="00B21BA0" w:rsidRDefault="00B21BA0" w:rsidP="00584C26">
      <w:pPr>
        <w:pStyle w:val="Sangradetextonormal"/>
        <w:ind w:left="0"/>
        <w:jc w:val="both"/>
        <w:rPr>
          <w:rFonts w:cs="Arial"/>
          <w:sz w:val="24"/>
          <w:szCs w:val="24"/>
          <w:lang w:val="es-MX"/>
        </w:rPr>
      </w:pPr>
      <w:r w:rsidRPr="00190C70">
        <w:rPr>
          <w:rFonts w:cs="Arial"/>
          <w:sz w:val="24"/>
          <w:szCs w:val="24"/>
          <w:lang w:val="es-MX"/>
        </w:rPr>
        <w:t>Por no tener catastro físico los centros poblados de las parroquias ni delimitación urbana, las actualizaciones que se realicen a partir del 1 de enero del 2016 tendrá un valor de:</w:t>
      </w:r>
    </w:p>
    <w:p w:rsidR="00584C26" w:rsidRPr="00190C70" w:rsidRDefault="00584C26" w:rsidP="009668EC">
      <w:pPr>
        <w:pStyle w:val="Sangradetextonormal"/>
        <w:spacing w:line="360" w:lineRule="auto"/>
        <w:ind w:left="0"/>
        <w:jc w:val="both"/>
        <w:rPr>
          <w:rFonts w:cs="Arial"/>
          <w:sz w:val="24"/>
          <w:szCs w:val="24"/>
          <w:lang w:val="es-MX"/>
        </w:rPr>
      </w:pPr>
    </w:p>
    <w:p w:rsidR="00B21BA0" w:rsidRPr="00190C70" w:rsidRDefault="00B21BA0" w:rsidP="00584C26">
      <w:pPr>
        <w:pStyle w:val="Sangradetextonormal"/>
        <w:ind w:left="0"/>
        <w:jc w:val="both"/>
        <w:rPr>
          <w:rFonts w:cs="Arial"/>
          <w:sz w:val="24"/>
          <w:szCs w:val="24"/>
          <w:lang w:val="es-MX"/>
        </w:rPr>
      </w:pPr>
      <w:r w:rsidRPr="00190C70">
        <w:rPr>
          <w:rFonts w:cs="Arial"/>
          <w:sz w:val="24"/>
          <w:szCs w:val="24"/>
          <w:lang w:val="es-MX"/>
        </w:rPr>
        <w:lastRenderedPageBreak/>
        <w:t>10 dólares hasta 1.000 m2 (10 USD el m2),</w:t>
      </w:r>
    </w:p>
    <w:p w:rsidR="00B21BA0" w:rsidRPr="00190C70" w:rsidRDefault="00B21BA0" w:rsidP="00584C26">
      <w:pPr>
        <w:pStyle w:val="Sangradetextonormal"/>
        <w:ind w:left="0"/>
        <w:jc w:val="both"/>
        <w:rPr>
          <w:rFonts w:cs="Arial"/>
          <w:sz w:val="24"/>
          <w:szCs w:val="24"/>
          <w:lang w:val="es-MX"/>
        </w:rPr>
      </w:pPr>
      <w:r w:rsidRPr="00190C70">
        <w:rPr>
          <w:rFonts w:cs="Arial"/>
          <w:sz w:val="24"/>
          <w:szCs w:val="24"/>
          <w:lang w:val="es-MX"/>
        </w:rPr>
        <w:t>5 dólares cada m2  a partir de 1.001 m2  hasta 3000 (5 USD el m2),</w:t>
      </w:r>
    </w:p>
    <w:p w:rsidR="009668EC" w:rsidRPr="00190C70" w:rsidRDefault="00B21BA0" w:rsidP="00584C26">
      <w:pPr>
        <w:pStyle w:val="Sangradetextonormal"/>
        <w:ind w:left="0"/>
        <w:jc w:val="both"/>
        <w:rPr>
          <w:rFonts w:cs="Arial"/>
          <w:sz w:val="24"/>
          <w:szCs w:val="24"/>
          <w:lang w:val="es-MX"/>
        </w:rPr>
      </w:pPr>
      <w:r w:rsidRPr="00190C70">
        <w:rPr>
          <w:rFonts w:cs="Arial"/>
          <w:sz w:val="24"/>
          <w:szCs w:val="24"/>
          <w:lang w:val="es-MX"/>
        </w:rPr>
        <w:t>2 dólares cada m2  a partir de 3.001 m2  en adelante (2USD el m2), y la construcción se valorará con el mismo proceso de esta ordenanza.</w:t>
      </w:r>
    </w:p>
    <w:p w:rsidR="00B21BA0" w:rsidRPr="00190C70" w:rsidRDefault="00B21BA0" w:rsidP="00584C26">
      <w:pPr>
        <w:pStyle w:val="Sangradetextonormal"/>
        <w:ind w:left="0"/>
        <w:jc w:val="both"/>
        <w:rPr>
          <w:rFonts w:cs="Arial"/>
          <w:sz w:val="24"/>
          <w:szCs w:val="24"/>
          <w:lang w:val="es-MX"/>
        </w:rPr>
      </w:pPr>
      <w:r w:rsidRPr="00190C70">
        <w:rPr>
          <w:rFonts w:cs="Arial"/>
          <w:sz w:val="24"/>
          <w:szCs w:val="24"/>
          <w:lang w:val="es-MX"/>
        </w:rPr>
        <w:t>Los sectores rurales que se integra</w:t>
      </w:r>
      <w:r w:rsidR="009A25FC" w:rsidRPr="00190C70">
        <w:rPr>
          <w:rFonts w:cs="Arial"/>
          <w:sz w:val="24"/>
          <w:szCs w:val="24"/>
          <w:lang w:val="es-MX"/>
        </w:rPr>
        <w:t xml:space="preserve">n </w:t>
      </w:r>
      <w:r w:rsidRPr="00190C70">
        <w:rPr>
          <w:rFonts w:cs="Arial"/>
          <w:sz w:val="24"/>
          <w:szCs w:val="24"/>
          <w:lang w:val="es-MX"/>
        </w:rPr>
        <w:t xml:space="preserve">al área urbana como VINCHOA, JOYOCOTO y otros, de acuerdo al nuevo límite urbano, establecido </w:t>
      </w:r>
      <w:r w:rsidR="001E1D39" w:rsidRPr="00190C70">
        <w:rPr>
          <w:rFonts w:cs="Arial"/>
          <w:sz w:val="24"/>
          <w:szCs w:val="24"/>
          <w:lang w:val="es-ES_tradnl"/>
        </w:rPr>
        <w:t xml:space="preserve">mediante Ordenanza </w:t>
      </w:r>
      <w:r w:rsidRPr="00190C70">
        <w:rPr>
          <w:rFonts w:cs="Arial"/>
          <w:sz w:val="24"/>
          <w:szCs w:val="24"/>
          <w:lang w:val="es-ES"/>
        </w:rPr>
        <w:t>del Plan Regulador y de Ordenamiento Territorial Urbano de Guaranda vigente,</w:t>
      </w:r>
      <w:r w:rsidRPr="00190C70">
        <w:rPr>
          <w:rFonts w:cs="Arial"/>
          <w:sz w:val="24"/>
          <w:szCs w:val="24"/>
          <w:lang w:val="es-MX"/>
        </w:rPr>
        <w:t xml:space="preserve">  se valorará dentro de la tabla tomando como base al sector 6, con un valor de $ 15 c/m2. Valor que puede ser modificado de acuerdo a las condiciones de cada lote (cobertura de servicios, forma, ubicación, superficie, etc. Valores que se mantendrán hasta que se ejecute el nuevo catastro.</w:t>
      </w:r>
    </w:p>
    <w:p w:rsidR="00B21BA0" w:rsidRPr="00190C70" w:rsidRDefault="00B21BA0" w:rsidP="00584C26">
      <w:pPr>
        <w:pStyle w:val="Sangradetextonormal"/>
        <w:ind w:left="0"/>
        <w:jc w:val="both"/>
        <w:rPr>
          <w:rFonts w:cs="Arial"/>
          <w:sz w:val="24"/>
          <w:szCs w:val="24"/>
          <w:lang w:val="es-MX"/>
        </w:rPr>
      </w:pPr>
      <w:r w:rsidRPr="00190C70">
        <w:rPr>
          <w:rFonts w:cs="Arial"/>
          <w:sz w:val="24"/>
          <w:szCs w:val="24"/>
          <w:lang w:val="es-MX"/>
        </w:rPr>
        <w:t>Se debe considerar los sectores deprimidos, de riesgos, zonas de protección el valor de $ 5.00 (cinco dólares 00/100).</w:t>
      </w:r>
    </w:p>
    <w:p w:rsidR="00B21BA0" w:rsidRPr="00190C70" w:rsidRDefault="00B21BA0" w:rsidP="00584C26">
      <w:pPr>
        <w:pStyle w:val="Sangradetextonormal"/>
        <w:ind w:left="0"/>
        <w:jc w:val="both"/>
        <w:rPr>
          <w:rFonts w:cs="Arial"/>
          <w:sz w:val="24"/>
          <w:szCs w:val="24"/>
          <w:lang w:val="es-MX"/>
        </w:rPr>
      </w:pPr>
      <w:r w:rsidRPr="00190C70">
        <w:rPr>
          <w:rFonts w:cs="Arial"/>
          <w:sz w:val="24"/>
          <w:szCs w:val="24"/>
          <w:lang w:val="es-MX"/>
        </w:rPr>
        <w:t xml:space="preserve">Del valor base que consta en el plano del valor de la tierra, valor por metro cuadrado de la manzana, se establecen los valores de eje de vía, con el promedio del valor de las manzanas vecinas, del valor de eje se constituye el valor individual del predio, considerando la localización del predio en la manzana, de este valor base, se establece el </w:t>
      </w:r>
      <w:r w:rsidRPr="00584C26">
        <w:rPr>
          <w:rFonts w:cs="Arial"/>
          <w:sz w:val="24"/>
          <w:szCs w:val="24"/>
          <w:lang w:val="es-MX"/>
        </w:rPr>
        <w:t>valor individual de los terrenos de acuerdo a la Normativa de valoración de la propiedad urbana,</w:t>
      </w:r>
      <w:r w:rsidRPr="00190C70">
        <w:rPr>
          <w:rFonts w:cs="Arial"/>
          <w:b/>
          <w:sz w:val="24"/>
          <w:szCs w:val="24"/>
          <w:lang w:val="es-MX"/>
        </w:rPr>
        <w:t xml:space="preserve"> </w:t>
      </w:r>
      <w:r w:rsidRPr="00190C70">
        <w:rPr>
          <w:rFonts w:cs="Arial"/>
          <w:sz w:val="24"/>
          <w:szCs w:val="24"/>
          <w:lang w:val="es-MX"/>
        </w:rPr>
        <w:t xml:space="preserve">el valor individual será afectado por los siguientes factores de aumento o reducción: </w:t>
      </w:r>
    </w:p>
    <w:p w:rsidR="00B21BA0" w:rsidRDefault="00B21BA0" w:rsidP="00584C26">
      <w:pPr>
        <w:pStyle w:val="Sangradetextonormal"/>
        <w:ind w:left="0"/>
        <w:jc w:val="both"/>
        <w:rPr>
          <w:rFonts w:cs="Arial"/>
          <w:sz w:val="24"/>
          <w:szCs w:val="24"/>
          <w:lang w:val="es-MX"/>
        </w:rPr>
      </w:pPr>
      <w:r w:rsidRPr="00190C70">
        <w:rPr>
          <w:rFonts w:cs="Arial"/>
          <w:b/>
          <w:sz w:val="24"/>
          <w:szCs w:val="24"/>
          <w:lang w:val="es-MX"/>
        </w:rPr>
        <w:t>Topográficos</w:t>
      </w:r>
      <w:r w:rsidRPr="00190C70">
        <w:rPr>
          <w:rFonts w:cs="Arial"/>
          <w:sz w:val="24"/>
          <w:szCs w:val="24"/>
          <w:lang w:val="es-MX"/>
        </w:rPr>
        <w:t xml:space="preserve">; a nivel, bajo nivel, sobre nivel, accidentado y escarpado. </w:t>
      </w:r>
      <w:r w:rsidRPr="00190C70">
        <w:rPr>
          <w:rFonts w:cs="Arial"/>
          <w:b/>
          <w:sz w:val="24"/>
          <w:szCs w:val="24"/>
          <w:lang w:val="es-MX"/>
        </w:rPr>
        <w:t>Geométricos</w:t>
      </w:r>
      <w:r w:rsidRPr="00190C70">
        <w:rPr>
          <w:rFonts w:cs="Arial"/>
          <w:sz w:val="24"/>
          <w:szCs w:val="24"/>
          <w:lang w:val="es-MX"/>
        </w:rPr>
        <w:t xml:space="preserve">; Localización, forma, superficie, relación dimensiones frente y fondo. </w:t>
      </w:r>
      <w:r w:rsidRPr="00190C70">
        <w:rPr>
          <w:rFonts w:cs="Arial"/>
          <w:b/>
          <w:sz w:val="24"/>
          <w:szCs w:val="24"/>
          <w:lang w:val="es-MX"/>
        </w:rPr>
        <w:t>Accesibilidad a servicios</w:t>
      </w:r>
      <w:r w:rsidRPr="00190C70">
        <w:rPr>
          <w:rFonts w:cs="Arial"/>
          <w:sz w:val="24"/>
          <w:szCs w:val="24"/>
          <w:lang w:val="es-MX"/>
        </w:rPr>
        <w:t xml:space="preserve">; vías, energía eléctrica, agua, alcantarillado, aceras, teléfonos, recolección de basura y aseo de calles; como se indica en el siguiente cuadro: </w:t>
      </w:r>
    </w:p>
    <w:p w:rsidR="00584C26" w:rsidRDefault="00584C26" w:rsidP="009668EC">
      <w:pPr>
        <w:pStyle w:val="Sangradetextonormal"/>
        <w:spacing w:line="360" w:lineRule="auto"/>
        <w:ind w:left="0"/>
        <w:jc w:val="both"/>
        <w:rPr>
          <w:rFonts w:cs="Arial"/>
          <w:sz w:val="24"/>
          <w:szCs w:val="24"/>
          <w:lang w:val="es-MX"/>
        </w:rPr>
      </w:pPr>
    </w:p>
    <w:p w:rsidR="00584C26" w:rsidRDefault="00584C26" w:rsidP="009668EC">
      <w:pPr>
        <w:pStyle w:val="Sangradetextonormal"/>
        <w:spacing w:line="360" w:lineRule="auto"/>
        <w:ind w:left="0"/>
        <w:jc w:val="both"/>
        <w:rPr>
          <w:rFonts w:cs="Arial"/>
          <w:sz w:val="24"/>
          <w:szCs w:val="24"/>
          <w:lang w:val="es-MX"/>
        </w:rPr>
      </w:pPr>
    </w:p>
    <w:p w:rsidR="00584C26" w:rsidRPr="00190C70" w:rsidRDefault="00584C26" w:rsidP="009668EC">
      <w:pPr>
        <w:pStyle w:val="Sangradetextonormal"/>
        <w:spacing w:line="360" w:lineRule="auto"/>
        <w:ind w:left="0"/>
        <w:jc w:val="both"/>
        <w:rPr>
          <w:rFonts w:cs="Arial"/>
          <w:sz w:val="24"/>
          <w:szCs w:val="24"/>
          <w:lang w:val="es-MX"/>
        </w:rPr>
      </w:pPr>
    </w:p>
    <w:p w:rsidR="00B21BA0" w:rsidRPr="00190C70" w:rsidRDefault="00B21BA0" w:rsidP="009668EC">
      <w:pPr>
        <w:jc w:val="both"/>
        <w:rPr>
          <w:rFonts w:cs="Arial"/>
          <w:b/>
          <w:color w:val="000000" w:themeColor="text1"/>
          <w:sz w:val="24"/>
          <w:szCs w:val="24"/>
          <w:lang w:val="es-ES_tradnl"/>
        </w:rPr>
      </w:pPr>
      <w:r w:rsidRPr="00190C70">
        <w:rPr>
          <w:rFonts w:cs="Arial"/>
          <w:b/>
          <w:color w:val="000000" w:themeColor="text1"/>
          <w:sz w:val="24"/>
          <w:szCs w:val="24"/>
          <w:lang w:val="es-ES_tradnl"/>
        </w:rPr>
        <w:lastRenderedPageBreak/>
        <w:t>CUADRO DE COEFICIENTES DE MODIFICACION POR INDICADORES.-</w:t>
      </w:r>
    </w:p>
    <w:tbl>
      <w:tblPr>
        <w:tblW w:w="7880" w:type="dxa"/>
        <w:tblInd w:w="55" w:type="dxa"/>
        <w:tblCellMar>
          <w:left w:w="70" w:type="dxa"/>
          <w:right w:w="70" w:type="dxa"/>
        </w:tblCellMar>
        <w:tblLook w:val="04A0" w:firstRow="1" w:lastRow="0" w:firstColumn="1" w:lastColumn="0" w:noHBand="0" w:noVBand="1"/>
      </w:tblPr>
      <w:tblGrid>
        <w:gridCol w:w="3000"/>
        <w:gridCol w:w="3300"/>
        <w:gridCol w:w="1580"/>
      </w:tblGrid>
      <w:tr w:rsidR="00B21BA0" w:rsidRPr="00190C70" w:rsidTr="00BE7BF1">
        <w:trPr>
          <w:trHeight w:val="255"/>
        </w:trPr>
        <w:tc>
          <w:tcPr>
            <w:tcW w:w="3000"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DESCRIPCION</w:t>
            </w:r>
          </w:p>
        </w:tc>
        <w:tc>
          <w:tcPr>
            <w:tcW w:w="3300" w:type="dxa"/>
            <w:tcBorders>
              <w:top w:val="single" w:sz="4" w:space="0" w:color="auto"/>
              <w:left w:val="nil"/>
              <w:bottom w:val="single" w:sz="4" w:space="0" w:color="auto"/>
              <w:right w:val="single" w:sz="4" w:space="0" w:color="auto"/>
            </w:tcBorders>
            <w:shd w:val="clear" w:color="000000" w:fill="C5D9F1"/>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TIPO</w:t>
            </w:r>
          </w:p>
        </w:tc>
        <w:tc>
          <w:tcPr>
            <w:tcW w:w="1580" w:type="dxa"/>
            <w:tcBorders>
              <w:top w:val="single" w:sz="4" w:space="0" w:color="auto"/>
              <w:left w:val="nil"/>
              <w:bottom w:val="single" w:sz="4" w:space="0" w:color="auto"/>
              <w:right w:val="single" w:sz="4" w:space="0" w:color="auto"/>
            </w:tcBorders>
            <w:shd w:val="clear" w:color="000000" w:fill="C5D9F1"/>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COEFICIENTE</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ACCESIBILIDAD AL LOTE</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Lote interior</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-0.0263</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Pasaje peatonal</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-0.0200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Pasaje vehicular</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-0.0100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Calle secundaria</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Calle principal</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0.0188</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MATERIAL DE CALZADA</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Tierra</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-0.0105</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Lastre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-0.0100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Empedrado</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Adoquín cemento</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0.0400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Adoquín piedra</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Asfalto</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0.0075</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ACERAS Y BORDILLOS</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-0.0070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Si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0.0050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AGUA POTABLE VIA</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-0.0219</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Si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0.0156</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ALCANTARILLLADO VIA</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-0.0088</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Si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0.0063</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ENERGIA ELECTRICA VIA</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-0.0088</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Si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0.0063</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ALUMBRADO PUBLICO VIA</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-0.0044</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Si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0.0031</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AGUA POTABLE LOTE</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0.0105</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Existe sin medidor</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0.0100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Existe con medidor</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0.0075</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ALCANTARILLADO LOTE</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-0.0070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Si existe</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0.0050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PENDIENTE</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más 50% (accidentado)</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-0.0300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de 26% a 50% (escarpado)</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-0.0210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proofErr w:type="gramStart"/>
            <w:r w:rsidRPr="00190C70">
              <w:rPr>
                <w:rFonts w:eastAsia="Times New Roman" w:cs="Arial"/>
                <w:color w:val="000000" w:themeColor="text1"/>
                <w:sz w:val="24"/>
                <w:szCs w:val="24"/>
              </w:rPr>
              <w:t>de</w:t>
            </w:r>
            <w:proofErr w:type="gramEnd"/>
            <w:r w:rsidRPr="00190C70">
              <w:rPr>
                <w:rFonts w:eastAsia="Times New Roman" w:cs="Arial"/>
                <w:color w:val="000000" w:themeColor="text1"/>
                <w:sz w:val="24"/>
                <w:szCs w:val="24"/>
              </w:rPr>
              <w:t xml:space="preserve"> 11% a 25% (</w:t>
            </w:r>
            <w:proofErr w:type="spellStart"/>
            <w:r w:rsidRPr="00190C70">
              <w:rPr>
                <w:rFonts w:eastAsia="Times New Roman" w:cs="Arial"/>
                <w:color w:val="000000" w:themeColor="text1"/>
                <w:sz w:val="24"/>
                <w:szCs w:val="24"/>
              </w:rPr>
              <w:t>lige</w:t>
            </w:r>
            <w:proofErr w:type="spellEnd"/>
            <w:r w:rsidRPr="00190C70">
              <w:rPr>
                <w:rFonts w:eastAsia="Times New Roman" w:cs="Arial"/>
                <w:color w:val="000000" w:themeColor="text1"/>
                <w:sz w:val="24"/>
                <w:szCs w:val="24"/>
              </w:rPr>
              <w:t>. esc.)</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-0.0100</w:t>
            </w:r>
          </w:p>
        </w:tc>
      </w:tr>
      <w:tr w:rsidR="00B21BA0" w:rsidRPr="00190C70" w:rsidTr="00BE7BF1">
        <w:trPr>
          <w:trHeight w:val="255"/>
        </w:trPr>
        <w:tc>
          <w:tcPr>
            <w:tcW w:w="300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30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de 0% a 10% (plano)</w:t>
            </w:r>
          </w:p>
        </w:tc>
        <w:tc>
          <w:tcPr>
            <w:tcW w:w="15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r>
    </w:tbl>
    <w:p w:rsidR="009F6F46" w:rsidRPr="00190C70" w:rsidRDefault="009F6F46" w:rsidP="00B21BA0">
      <w:pPr>
        <w:pStyle w:val="Sangradetextonormal"/>
        <w:ind w:left="0"/>
        <w:jc w:val="both"/>
        <w:rPr>
          <w:rFonts w:cs="Arial"/>
          <w:sz w:val="24"/>
          <w:szCs w:val="24"/>
          <w:lang w:val="es-ES"/>
        </w:rPr>
      </w:pPr>
    </w:p>
    <w:p w:rsidR="00B21BA0" w:rsidRPr="00190C70" w:rsidRDefault="00B21BA0" w:rsidP="00B21BA0">
      <w:pPr>
        <w:pStyle w:val="Sangradetextonormal"/>
        <w:ind w:left="0"/>
        <w:jc w:val="both"/>
        <w:rPr>
          <w:rFonts w:cs="Arial"/>
          <w:sz w:val="24"/>
          <w:szCs w:val="24"/>
          <w:lang w:val="es-ES"/>
        </w:rPr>
      </w:pPr>
      <w:r w:rsidRPr="00190C70">
        <w:rPr>
          <w:rFonts w:cs="Arial"/>
          <w:sz w:val="24"/>
          <w:szCs w:val="24"/>
          <w:lang w:val="es-ES"/>
        </w:rPr>
        <w:lastRenderedPageBreak/>
        <w:t>Las particularidades físicas de cada predio o terreno de acuerdo a su implantación en la ciudad, da la posibilidad de múltiples enlaces entre variables e indicadores, los que representan al estado actual del predio, en el momento del levantamiento de información catastral,  condiciones con las que permite realizar su valoración individual.</w:t>
      </w:r>
    </w:p>
    <w:p w:rsidR="00B21BA0" w:rsidRPr="00190C70" w:rsidRDefault="00B21BA0" w:rsidP="00B21BA0">
      <w:pPr>
        <w:pStyle w:val="Sangradetextonormal"/>
        <w:ind w:left="0"/>
        <w:jc w:val="both"/>
        <w:rPr>
          <w:rFonts w:cs="Arial"/>
          <w:sz w:val="24"/>
          <w:szCs w:val="24"/>
          <w:lang w:val="es-MX"/>
        </w:rPr>
      </w:pPr>
      <w:r w:rsidRPr="00190C70">
        <w:rPr>
          <w:rFonts w:cs="Arial"/>
          <w:sz w:val="24"/>
          <w:szCs w:val="24"/>
          <w:lang w:val="es-ES"/>
        </w:rPr>
        <w:t>Por lo que para la valoración individual del terreno (VI) se considerarán:   (</w:t>
      </w:r>
      <w:proofErr w:type="spellStart"/>
      <w:r w:rsidRPr="00190C70">
        <w:rPr>
          <w:rFonts w:cs="Arial"/>
          <w:sz w:val="24"/>
          <w:szCs w:val="24"/>
          <w:lang w:val="es-ES"/>
        </w:rPr>
        <w:t>Vsh</w:t>
      </w:r>
      <w:proofErr w:type="spellEnd"/>
      <w:r w:rsidRPr="00190C70">
        <w:rPr>
          <w:rFonts w:cs="Arial"/>
          <w:sz w:val="24"/>
          <w:szCs w:val="24"/>
          <w:lang w:val="es-ES"/>
        </w:rPr>
        <w:t xml:space="preserve">)  el valor M2 de sector homogéneo localizado en el plano del valor de la </w:t>
      </w:r>
      <w:r w:rsidRPr="00584C26">
        <w:rPr>
          <w:rFonts w:cs="Arial"/>
          <w:sz w:val="24"/>
          <w:szCs w:val="24"/>
          <w:lang w:val="es-ES"/>
        </w:rPr>
        <w:t xml:space="preserve">tierra y/o deducción del valor individual, </w:t>
      </w:r>
      <w:r w:rsidRPr="00190C70">
        <w:rPr>
          <w:rFonts w:cs="Arial"/>
          <w:sz w:val="24"/>
          <w:szCs w:val="24"/>
          <w:lang w:val="es-ES"/>
        </w:rPr>
        <w:t xml:space="preserve"> (Fa) </w:t>
      </w:r>
      <w:r w:rsidRPr="00584C26">
        <w:rPr>
          <w:rFonts w:cs="Arial"/>
          <w:sz w:val="24"/>
          <w:szCs w:val="24"/>
          <w:lang w:val="es-ES"/>
        </w:rPr>
        <w:t>obtención del factor de afectación, y (S)</w:t>
      </w:r>
      <w:r w:rsidRPr="00190C70">
        <w:rPr>
          <w:rFonts w:cs="Arial"/>
          <w:b/>
          <w:sz w:val="24"/>
          <w:szCs w:val="24"/>
          <w:lang w:val="es-ES"/>
        </w:rPr>
        <w:t xml:space="preserve"> </w:t>
      </w:r>
      <w:r w:rsidRPr="00190C70">
        <w:rPr>
          <w:rFonts w:cs="Arial"/>
          <w:sz w:val="24"/>
          <w:szCs w:val="24"/>
          <w:lang w:val="es-ES"/>
        </w:rPr>
        <w:t xml:space="preserve"> </w:t>
      </w:r>
      <w:r w:rsidRPr="00190C70">
        <w:rPr>
          <w:rFonts w:cs="Arial"/>
          <w:sz w:val="24"/>
          <w:szCs w:val="24"/>
          <w:lang w:val="es-MX"/>
        </w:rPr>
        <w:t>Superficie  del terreno así:</w:t>
      </w:r>
    </w:p>
    <w:p w:rsidR="00B21BA0" w:rsidRPr="00584C26" w:rsidRDefault="00B21BA0" w:rsidP="00B21BA0">
      <w:pPr>
        <w:pStyle w:val="Sangradetextonormal"/>
        <w:ind w:left="0"/>
        <w:rPr>
          <w:rFonts w:cs="Arial"/>
          <w:color w:val="000000" w:themeColor="text1"/>
          <w:sz w:val="24"/>
          <w:szCs w:val="24"/>
          <w:lang w:val="es-ES"/>
        </w:rPr>
      </w:pPr>
      <w:r w:rsidRPr="00584C26">
        <w:rPr>
          <w:rFonts w:cs="Arial"/>
          <w:color w:val="000000" w:themeColor="text1"/>
          <w:sz w:val="24"/>
          <w:szCs w:val="24"/>
          <w:lang w:val="es-ES"/>
        </w:rPr>
        <w:t xml:space="preserve">VI = Vm2 x Fa x S </w:t>
      </w:r>
    </w:p>
    <w:p w:rsidR="00B21BA0" w:rsidRPr="00190C70" w:rsidRDefault="00B21BA0" w:rsidP="00B21BA0">
      <w:pPr>
        <w:pStyle w:val="Sangradetextonormal"/>
        <w:ind w:left="0"/>
        <w:rPr>
          <w:rFonts w:cs="Arial"/>
          <w:color w:val="000000" w:themeColor="text1"/>
          <w:sz w:val="24"/>
          <w:szCs w:val="24"/>
          <w:lang w:val="es-ES"/>
        </w:rPr>
      </w:pPr>
      <w:r w:rsidRPr="00190C70">
        <w:rPr>
          <w:rFonts w:cs="Arial"/>
          <w:color w:val="000000" w:themeColor="text1"/>
          <w:sz w:val="24"/>
          <w:szCs w:val="24"/>
          <w:lang w:val="es-ES"/>
        </w:rPr>
        <w:t>Donde:</w:t>
      </w:r>
    </w:p>
    <w:p w:rsidR="00B21BA0" w:rsidRPr="00190C70" w:rsidRDefault="00B21BA0" w:rsidP="00B21BA0">
      <w:pPr>
        <w:pStyle w:val="Sangradetextonormal"/>
        <w:ind w:left="0"/>
        <w:rPr>
          <w:rFonts w:cs="Arial"/>
          <w:color w:val="000000" w:themeColor="text1"/>
          <w:sz w:val="24"/>
          <w:szCs w:val="24"/>
          <w:lang w:val="es-ES"/>
        </w:rPr>
      </w:pPr>
      <w:r w:rsidRPr="00190C70">
        <w:rPr>
          <w:rFonts w:cs="Arial"/>
          <w:color w:val="000000" w:themeColor="text1"/>
          <w:sz w:val="24"/>
          <w:szCs w:val="24"/>
          <w:lang w:val="es-ES"/>
        </w:rPr>
        <w:t>VI = VALOR INDIVIDUAL DEL TERRENO</w:t>
      </w:r>
    </w:p>
    <w:p w:rsidR="00B21BA0" w:rsidRPr="00190C70" w:rsidRDefault="00B21BA0" w:rsidP="00B21BA0">
      <w:pPr>
        <w:pStyle w:val="Sangradetextonormal"/>
        <w:ind w:left="0"/>
        <w:rPr>
          <w:rFonts w:cs="Arial"/>
          <w:color w:val="000000" w:themeColor="text1"/>
          <w:sz w:val="24"/>
          <w:szCs w:val="24"/>
          <w:lang w:val="es-ES"/>
        </w:rPr>
      </w:pPr>
      <w:r w:rsidRPr="00190C70">
        <w:rPr>
          <w:rFonts w:cs="Arial"/>
          <w:color w:val="000000" w:themeColor="text1"/>
          <w:sz w:val="24"/>
          <w:szCs w:val="24"/>
          <w:lang w:val="es-ES"/>
        </w:rPr>
        <w:t>VM2 = VALOR M2 DE SECTOR HOMOGENEO O VALOR INDIVIDUAL</w:t>
      </w:r>
    </w:p>
    <w:p w:rsidR="00B21BA0" w:rsidRPr="00190C70" w:rsidRDefault="00B21BA0" w:rsidP="00B21BA0">
      <w:pPr>
        <w:pStyle w:val="Sangradetextonormal"/>
        <w:ind w:left="0"/>
        <w:rPr>
          <w:rFonts w:cs="Arial"/>
          <w:color w:val="000000" w:themeColor="text1"/>
          <w:sz w:val="24"/>
          <w:szCs w:val="24"/>
          <w:lang w:val="es-ES"/>
        </w:rPr>
      </w:pPr>
      <w:r w:rsidRPr="00190C70">
        <w:rPr>
          <w:rFonts w:cs="Arial"/>
          <w:color w:val="000000" w:themeColor="text1"/>
          <w:sz w:val="24"/>
          <w:szCs w:val="24"/>
          <w:lang w:val="es-ES"/>
        </w:rPr>
        <w:t>Fa = FACTOR DE AFECTACION</w:t>
      </w:r>
    </w:p>
    <w:p w:rsidR="00B21BA0" w:rsidRPr="00190C70" w:rsidRDefault="00B21BA0" w:rsidP="00B21BA0">
      <w:pPr>
        <w:pStyle w:val="Sangradetextonormal"/>
        <w:ind w:left="0"/>
        <w:rPr>
          <w:rFonts w:cs="Arial"/>
          <w:color w:val="000000" w:themeColor="text1"/>
          <w:sz w:val="24"/>
          <w:szCs w:val="24"/>
          <w:lang w:val="es-ES"/>
        </w:rPr>
      </w:pPr>
      <w:r w:rsidRPr="00190C70">
        <w:rPr>
          <w:rFonts w:cs="Arial"/>
          <w:color w:val="000000" w:themeColor="text1"/>
          <w:sz w:val="24"/>
          <w:szCs w:val="24"/>
          <w:lang w:val="es-ES"/>
        </w:rPr>
        <w:t>S = SUPERFICIE DEL TERRENO</w:t>
      </w:r>
    </w:p>
    <w:p w:rsidR="00B21BA0" w:rsidRPr="00190C70" w:rsidRDefault="00B21BA0" w:rsidP="00B21BA0">
      <w:pPr>
        <w:jc w:val="both"/>
        <w:rPr>
          <w:rFonts w:cs="Arial"/>
          <w:b/>
          <w:bCs/>
          <w:sz w:val="24"/>
          <w:szCs w:val="24"/>
        </w:rPr>
      </w:pPr>
      <w:r w:rsidRPr="00190C70">
        <w:rPr>
          <w:rFonts w:cs="Arial"/>
          <w:b/>
          <w:bCs/>
          <w:sz w:val="24"/>
          <w:szCs w:val="24"/>
        </w:rPr>
        <w:t>b.-) Valor de edificaciones</w:t>
      </w:r>
      <w:r w:rsidR="00997A34">
        <w:rPr>
          <w:rFonts w:cs="Arial"/>
          <w:b/>
          <w:bCs/>
          <w:sz w:val="24"/>
          <w:szCs w:val="24"/>
        </w:rPr>
        <w:t>.-</w:t>
      </w:r>
    </w:p>
    <w:p w:rsidR="00B21BA0" w:rsidRPr="00190C70" w:rsidRDefault="00B21BA0" w:rsidP="00997A34">
      <w:pPr>
        <w:jc w:val="both"/>
        <w:rPr>
          <w:rFonts w:cs="Arial"/>
          <w:color w:val="000000" w:themeColor="text1"/>
          <w:sz w:val="24"/>
          <w:szCs w:val="24"/>
        </w:rPr>
      </w:pPr>
      <w:r w:rsidRPr="00190C70">
        <w:rPr>
          <w:rFonts w:cs="Arial"/>
          <w:color w:val="000000" w:themeColor="text1"/>
          <w:sz w:val="24"/>
          <w:szCs w:val="24"/>
        </w:rPr>
        <w:t>Se establece el valor de las edificaciones que se hayan desarrollado con el carácter de permanente, proceso que a través de la aplicación de la simulación de presupuestos de obra que va a ser avaluada a costos a</w:t>
      </w:r>
      <w:r w:rsidR="009A25FC" w:rsidRPr="00190C70">
        <w:rPr>
          <w:rFonts w:cs="Arial"/>
          <w:color w:val="000000" w:themeColor="text1"/>
          <w:sz w:val="24"/>
          <w:szCs w:val="24"/>
        </w:rPr>
        <w:t>ctualizados, en las que constará</w:t>
      </w:r>
      <w:r w:rsidRPr="00190C70">
        <w:rPr>
          <w:rFonts w:cs="Arial"/>
          <w:color w:val="000000" w:themeColor="text1"/>
          <w:sz w:val="24"/>
          <w:szCs w:val="24"/>
        </w:rPr>
        <w:t xml:space="preserve">n los siguientes indicadores: materiales que serán; estructura, paredes , </w:t>
      </w:r>
      <w:proofErr w:type="spellStart"/>
      <w:r w:rsidRPr="00190C70">
        <w:rPr>
          <w:rFonts w:cs="Arial"/>
          <w:color w:val="000000" w:themeColor="text1"/>
          <w:sz w:val="24"/>
          <w:szCs w:val="24"/>
        </w:rPr>
        <w:t>contrapiso</w:t>
      </w:r>
      <w:proofErr w:type="spellEnd"/>
      <w:r w:rsidRPr="00190C70">
        <w:rPr>
          <w:rFonts w:cs="Arial"/>
          <w:color w:val="000000" w:themeColor="text1"/>
          <w:sz w:val="24"/>
          <w:szCs w:val="24"/>
        </w:rPr>
        <w:t xml:space="preserve"> y entrepiso y los indicadores general</w:t>
      </w:r>
      <w:r w:rsidR="009A25FC" w:rsidRPr="00190C70">
        <w:rPr>
          <w:rFonts w:cs="Arial"/>
          <w:color w:val="000000" w:themeColor="text1"/>
          <w:sz w:val="24"/>
          <w:szCs w:val="24"/>
        </w:rPr>
        <w:t>es</w:t>
      </w:r>
      <w:r w:rsidRPr="00190C70">
        <w:rPr>
          <w:rFonts w:cs="Arial"/>
          <w:color w:val="000000" w:themeColor="text1"/>
          <w:sz w:val="24"/>
          <w:szCs w:val="24"/>
        </w:rPr>
        <w:t xml:space="preserve"> que son: acabados, tumbado ventanas,</w:t>
      </w:r>
      <w:r w:rsidR="009668EC" w:rsidRPr="00190C70">
        <w:rPr>
          <w:rFonts w:cs="Arial"/>
          <w:color w:val="000000" w:themeColor="text1"/>
          <w:sz w:val="24"/>
          <w:szCs w:val="24"/>
        </w:rPr>
        <w:t xml:space="preserve"> </w:t>
      </w:r>
      <w:r w:rsidRPr="00190C70">
        <w:rPr>
          <w:rFonts w:cs="Arial"/>
          <w:color w:val="000000" w:themeColor="text1"/>
          <w:sz w:val="24"/>
          <w:szCs w:val="24"/>
        </w:rPr>
        <w:t xml:space="preserve">instalaciones eléctricas, baños y equipo especial, edad de la construcción, estado de conservación. </w:t>
      </w:r>
    </w:p>
    <w:p w:rsidR="00B21BA0" w:rsidRDefault="00B21BA0" w:rsidP="00997A34">
      <w:pPr>
        <w:jc w:val="both"/>
        <w:rPr>
          <w:rFonts w:cs="Arial"/>
          <w:color w:val="000000" w:themeColor="text1"/>
          <w:sz w:val="24"/>
          <w:szCs w:val="24"/>
        </w:rPr>
      </w:pPr>
      <w:r w:rsidRPr="00190C70">
        <w:rPr>
          <w:rFonts w:cs="Arial"/>
          <w:color w:val="000000" w:themeColor="text1"/>
          <w:sz w:val="24"/>
          <w:szCs w:val="24"/>
        </w:rPr>
        <w:t>El valor de reposición consiste en calcular todo el valor de inversión que representa construir una edificación nueva con las mismas características de la que se analiza, para obtener el llamado valor de reposición, deduciendo de dicho valor la depreciación del valor repuesto, que es proporcional a la vida útil de los materiales o que también se establece por el uso, e</w:t>
      </w:r>
      <w:r w:rsidR="00D705FA" w:rsidRPr="00190C70">
        <w:rPr>
          <w:rFonts w:cs="Arial"/>
          <w:color w:val="000000" w:themeColor="text1"/>
          <w:sz w:val="24"/>
          <w:szCs w:val="24"/>
        </w:rPr>
        <w:t>stado técnico y pé</w:t>
      </w:r>
      <w:r w:rsidRPr="00190C70">
        <w:rPr>
          <w:rFonts w:cs="Arial"/>
          <w:color w:val="000000" w:themeColor="text1"/>
          <w:sz w:val="24"/>
          <w:szCs w:val="24"/>
        </w:rPr>
        <w:t>rdidas funcionales, en el objetivo de obtener el val</w:t>
      </w:r>
      <w:r w:rsidR="00D705FA" w:rsidRPr="00190C70">
        <w:rPr>
          <w:rFonts w:cs="Arial"/>
          <w:color w:val="000000" w:themeColor="text1"/>
          <w:sz w:val="24"/>
          <w:szCs w:val="24"/>
        </w:rPr>
        <w:t>or de la edificación en su</w:t>
      </w:r>
      <w:r w:rsidRPr="00190C70">
        <w:rPr>
          <w:rFonts w:cs="Arial"/>
          <w:color w:val="000000" w:themeColor="text1"/>
          <w:sz w:val="24"/>
          <w:szCs w:val="24"/>
        </w:rPr>
        <w:t xml:space="preserve"> estado re</w:t>
      </w:r>
      <w:r w:rsidR="009668EC" w:rsidRPr="00190C70">
        <w:rPr>
          <w:rFonts w:cs="Arial"/>
          <w:color w:val="000000" w:themeColor="text1"/>
          <w:sz w:val="24"/>
          <w:szCs w:val="24"/>
        </w:rPr>
        <w:t xml:space="preserve">al al momento de la valuación. </w:t>
      </w:r>
    </w:p>
    <w:p w:rsidR="00997A34" w:rsidRPr="00190C70" w:rsidRDefault="00997A34" w:rsidP="00997A34">
      <w:pPr>
        <w:jc w:val="both"/>
        <w:rPr>
          <w:rFonts w:cs="Arial"/>
          <w:color w:val="000000" w:themeColor="text1"/>
          <w:sz w:val="24"/>
          <w:szCs w:val="24"/>
        </w:rPr>
      </w:pPr>
    </w:p>
    <w:tbl>
      <w:tblPr>
        <w:tblW w:w="7412" w:type="dxa"/>
        <w:tblInd w:w="55" w:type="dxa"/>
        <w:tblCellMar>
          <w:left w:w="70" w:type="dxa"/>
          <w:right w:w="70" w:type="dxa"/>
        </w:tblCellMar>
        <w:tblLook w:val="04A0" w:firstRow="1" w:lastRow="0" w:firstColumn="1" w:lastColumn="0" w:noHBand="0" w:noVBand="1"/>
      </w:tblPr>
      <w:tblGrid>
        <w:gridCol w:w="2820"/>
        <w:gridCol w:w="3032"/>
        <w:gridCol w:w="1560"/>
      </w:tblGrid>
      <w:tr w:rsidR="00B21BA0" w:rsidRPr="00190C70" w:rsidTr="00BE7BF1">
        <w:trPr>
          <w:trHeight w:val="255"/>
        </w:trPr>
        <w:tc>
          <w:tcPr>
            <w:tcW w:w="28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lastRenderedPageBreak/>
              <w:t>DESCRIPCION</w:t>
            </w:r>
          </w:p>
        </w:tc>
        <w:tc>
          <w:tcPr>
            <w:tcW w:w="3032" w:type="dxa"/>
            <w:tcBorders>
              <w:top w:val="single" w:sz="4" w:space="0" w:color="auto"/>
              <w:left w:val="nil"/>
              <w:bottom w:val="single" w:sz="4" w:space="0" w:color="auto"/>
              <w:right w:val="single" w:sz="4" w:space="0" w:color="auto"/>
            </w:tcBorders>
            <w:shd w:val="clear" w:color="000000" w:fill="B8CCE4"/>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TIPO</w:t>
            </w:r>
          </w:p>
        </w:tc>
        <w:tc>
          <w:tcPr>
            <w:tcW w:w="1560" w:type="dxa"/>
            <w:tcBorders>
              <w:top w:val="single" w:sz="4" w:space="0" w:color="auto"/>
              <w:left w:val="nil"/>
              <w:bottom w:val="single" w:sz="4" w:space="0" w:color="auto"/>
              <w:right w:val="single" w:sz="4" w:space="0" w:color="auto"/>
            </w:tcBorders>
            <w:shd w:val="clear" w:color="000000" w:fill="B8CCE4"/>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VALOR</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ESTRUCTURA</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proofErr w:type="spellStart"/>
            <w:r w:rsidRPr="00190C70">
              <w:rPr>
                <w:rFonts w:eastAsia="Times New Roman" w:cs="Arial"/>
                <w:color w:val="000000" w:themeColor="text1"/>
                <w:sz w:val="24"/>
                <w:szCs w:val="24"/>
              </w:rPr>
              <w:t>Autoportante</w:t>
            </w:r>
            <w:proofErr w:type="spellEnd"/>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23.474</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30.947</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Metálica</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30.947</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Hormigón armado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42.1515</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Hormigón armado más de 2 pisos</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44.456</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PAREDES</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tiene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Adobe tapial</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23.2375</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Bahareque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17.4284</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Ladrillo bloque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35.9907</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CONTRAPISO</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tiene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12.345</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Entablado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19.965</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Hormigón simple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40.001</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Hormigón Armado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45.987</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ENTREPISO o CUBIERTA</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20.51</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 y zinc</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25.786</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 teja común</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28.0055</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Madera </w:t>
            </w:r>
            <w:proofErr w:type="spellStart"/>
            <w:r w:rsidRPr="00190C70">
              <w:rPr>
                <w:rFonts w:eastAsia="Times New Roman" w:cs="Arial"/>
                <w:color w:val="000000" w:themeColor="text1"/>
                <w:sz w:val="24"/>
                <w:szCs w:val="24"/>
              </w:rPr>
              <w:t>fibro</w:t>
            </w:r>
            <w:proofErr w:type="spellEnd"/>
            <w:r w:rsidRPr="00190C70">
              <w:rPr>
                <w:rFonts w:eastAsia="Times New Roman" w:cs="Arial"/>
                <w:color w:val="000000" w:themeColor="text1"/>
                <w:sz w:val="24"/>
                <w:szCs w:val="24"/>
              </w:rPr>
              <w:t xml:space="preserve"> - cemento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39.4</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Metal </w:t>
            </w:r>
            <w:proofErr w:type="spellStart"/>
            <w:r w:rsidRPr="00190C70">
              <w:rPr>
                <w:rFonts w:eastAsia="Times New Roman" w:cs="Arial"/>
                <w:color w:val="000000" w:themeColor="text1"/>
                <w:sz w:val="24"/>
                <w:szCs w:val="24"/>
              </w:rPr>
              <w:t>fibro</w:t>
            </w:r>
            <w:proofErr w:type="spellEnd"/>
            <w:r w:rsidRPr="00190C70">
              <w:rPr>
                <w:rFonts w:eastAsia="Times New Roman" w:cs="Arial"/>
                <w:color w:val="000000" w:themeColor="text1"/>
                <w:sz w:val="24"/>
                <w:szCs w:val="24"/>
              </w:rPr>
              <w:t xml:space="preserve"> - cemento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53.008</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 y ladrillo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31.976</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Hormigón Armado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55.0875</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tiene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ACABADOS DE PISO</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tiene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proofErr w:type="spellStart"/>
            <w:r w:rsidRPr="00190C70">
              <w:rPr>
                <w:rFonts w:eastAsia="Times New Roman" w:cs="Arial"/>
                <w:color w:val="000000" w:themeColor="text1"/>
                <w:sz w:val="24"/>
                <w:szCs w:val="24"/>
              </w:rPr>
              <w:t>Encementado</w:t>
            </w:r>
            <w:proofErr w:type="spellEnd"/>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0.0293</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Baldosa común</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0.0586</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Entablado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0.0889</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proofErr w:type="spellStart"/>
            <w:r w:rsidRPr="00190C70">
              <w:rPr>
                <w:rFonts w:eastAsia="Times New Roman" w:cs="Arial"/>
                <w:color w:val="000000" w:themeColor="text1"/>
                <w:sz w:val="24"/>
                <w:szCs w:val="24"/>
              </w:rPr>
              <w:t>Parquet</w:t>
            </w:r>
            <w:proofErr w:type="spellEnd"/>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0.1172</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Media duela</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0.1779</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Cerámica industrial</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0.1816</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TUMBADO</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tiene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Si tiene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0.0231</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VENTANAS</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tiene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 y vidrio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0.1255</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Hierro y vidrio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0.1549</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Aluminio vidrio claro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0.2209</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Aluminio vidrio oscuro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0.2869</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INST. ELECTRICAS</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tiene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Visibles</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0.0759</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Empotradas</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0.1518</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BAÑOS</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tiene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Común</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0.0779</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Estándar</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0.0791</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Estándar color</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0.0802</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De lujo</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0.0892</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EQUIPO ESPECIAL</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No tiene</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w:t>
            </w:r>
          </w:p>
        </w:tc>
      </w:tr>
      <w:tr w:rsidR="00B21BA0" w:rsidRPr="00190C70" w:rsidTr="00BE7BF1">
        <w:trPr>
          <w:trHeight w:val="255"/>
        </w:trPr>
        <w:tc>
          <w:tcPr>
            <w:tcW w:w="2820" w:type="dxa"/>
            <w:tcBorders>
              <w:top w:val="nil"/>
              <w:left w:val="single" w:sz="4" w:space="0" w:color="auto"/>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3032"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De segundo orden</w:t>
            </w:r>
          </w:p>
        </w:tc>
        <w:tc>
          <w:tcPr>
            <w:tcW w:w="1560" w:type="dxa"/>
            <w:tcBorders>
              <w:top w:val="nil"/>
              <w:left w:val="nil"/>
              <w:bottom w:val="single" w:sz="4" w:space="0" w:color="auto"/>
              <w:right w:val="single" w:sz="4" w:space="0" w:color="auto"/>
            </w:tcBorders>
            <w:shd w:val="clear" w:color="000000" w:fill="FFFFFF"/>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0.0147</w:t>
            </w:r>
          </w:p>
        </w:tc>
      </w:tr>
    </w:tbl>
    <w:p w:rsidR="009668EC" w:rsidRPr="00190C70" w:rsidRDefault="009668EC" w:rsidP="00B21BA0">
      <w:pPr>
        <w:jc w:val="both"/>
        <w:rPr>
          <w:rFonts w:cs="Arial"/>
          <w:color w:val="000000" w:themeColor="text1"/>
          <w:sz w:val="24"/>
          <w:szCs w:val="24"/>
        </w:rPr>
      </w:pPr>
    </w:p>
    <w:p w:rsidR="00B21BA0" w:rsidRPr="00190C70" w:rsidRDefault="00B21BA0" w:rsidP="00997A34">
      <w:pPr>
        <w:jc w:val="both"/>
        <w:rPr>
          <w:rFonts w:cs="Arial"/>
          <w:color w:val="000000" w:themeColor="text1"/>
          <w:sz w:val="24"/>
          <w:szCs w:val="24"/>
        </w:rPr>
      </w:pPr>
      <w:r w:rsidRPr="00190C70">
        <w:rPr>
          <w:rFonts w:cs="Arial"/>
          <w:color w:val="000000" w:themeColor="text1"/>
          <w:sz w:val="24"/>
          <w:szCs w:val="24"/>
        </w:rPr>
        <w:t xml:space="preserve">Para la aplicación del método de  reposición y establecer los parámetros específicos de cálculo, a cada indicador le corresponderá un número definido de rubros de edificación, a los que se les </w:t>
      </w:r>
      <w:r w:rsidR="00D705FA" w:rsidRPr="00190C70">
        <w:rPr>
          <w:rFonts w:cs="Arial"/>
          <w:color w:val="000000" w:themeColor="text1"/>
          <w:sz w:val="24"/>
          <w:szCs w:val="24"/>
        </w:rPr>
        <w:t>asignará</w:t>
      </w:r>
      <w:r w:rsidRPr="00190C70">
        <w:rPr>
          <w:rFonts w:cs="Arial"/>
          <w:color w:val="000000" w:themeColor="text1"/>
          <w:sz w:val="24"/>
          <w:szCs w:val="24"/>
        </w:rPr>
        <w:t>n los índices de participación.</w:t>
      </w:r>
    </w:p>
    <w:p w:rsidR="009668EC" w:rsidRPr="00190C70" w:rsidRDefault="00B21BA0" w:rsidP="00997A34">
      <w:pPr>
        <w:jc w:val="both"/>
        <w:rPr>
          <w:rFonts w:cs="Arial"/>
          <w:color w:val="000000" w:themeColor="text1"/>
          <w:sz w:val="24"/>
          <w:szCs w:val="24"/>
        </w:rPr>
      </w:pPr>
      <w:r w:rsidRPr="00190C70">
        <w:rPr>
          <w:rFonts w:cs="Arial"/>
          <w:color w:val="000000" w:themeColor="text1"/>
          <w:sz w:val="24"/>
          <w:szCs w:val="24"/>
        </w:rPr>
        <w:t>Para la depreciación se aplicará el método lineal, con una variación de hasta el 10% del valor en relación al año original, en proporción a la vida útil de los materiales de construcción de la estructura del edificio. Se afectará además con los factores de estado de conservación del edificio en relación al mantenimiento de este, en las condiciones: bueno, regular, malo y obsoleto.</w:t>
      </w:r>
    </w:p>
    <w:tbl>
      <w:tblPr>
        <w:tblW w:w="7991" w:type="dxa"/>
        <w:tblInd w:w="55" w:type="dxa"/>
        <w:tblCellMar>
          <w:left w:w="70" w:type="dxa"/>
          <w:right w:w="70" w:type="dxa"/>
        </w:tblCellMar>
        <w:tblLook w:val="04A0" w:firstRow="1" w:lastRow="0" w:firstColumn="1" w:lastColumn="0" w:noHBand="0" w:noVBand="1"/>
      </w:tblPr>
      <w:tblGrid>
        <w:gridCol w:w="832"/>
        <w:gridCol w:w="1578"/>
        <w:gridCol w:w="1456"/>
        <w:gridCol w:w="1242"/>
        <w:gridCol w:w="1853"/>
        <w:gridCol w:w="1030"/>
      </w:tblGrid>
      <w:tr w:rsidR="00B21BA0" w:rsidRPr="00190C70" w:rsidTr="00BE7BF1">
        <w:trPr>
          <w:trHeight w:val="255"/>
        </w:trPr>
        <w:tc>
          <w:tcPr>
            <w:tcW w:w="799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DEPRECIACION</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AÑOS</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HORMIGON</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METALICA</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MADERA</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AUTOPORTANTE</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CAÑA</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0.99985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0.99978</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0.99939</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0.99899</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0.99452</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0.99939</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0.99912</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0.99756</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0.99597</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0.97815</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0.99863</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0.99803</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0.99452</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0.99095</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0.95106</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0.99756</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0.99649</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0.99027</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0.98393</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0.91355</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0.99619</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0.99452</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0.98481</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0.97493</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0.86603</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0.99452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0.99211</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0.97815</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0.96396</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0.80902</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0.99255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0.98927</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0.97030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0.95106</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0.74314</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0.99027</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0.98600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0.96126</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0.93623</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0.66913</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lastRenderedPageBreak/>
              <w:t>9</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0.98769</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0.98229</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0.95106</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0.91953</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0.58779</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0.98481</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0.97815</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0.93969</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0.90097</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0.98163</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0.97358</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0.92718</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0.88060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0.40674</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0.97815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0.96858</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0.91355</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0.85845</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0.30902</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0.97437</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0.96316</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0.89879</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0.83457</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0.20791</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0.97030</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0.95732</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0.88295</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0.80902</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0.10453</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0.96593</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0.95106</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0.86603</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0.78183</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0.96126</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0.94438</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0.84805</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0.75307</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17</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0.95630</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0.93728</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0.82904</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0.72279</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0.95106</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0.92978</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0.80902</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0.69106</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19</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0.94552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0.92186</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0.78801</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0.65794</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0.93969</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0.91355</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0.76604</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0.62349</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21</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0.93358</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0.90483</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0.74314</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0.58779</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0.92718</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0.89571</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0.71934</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0.55090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23</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0.92050</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0.88620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0.69466</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0.51290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0.91355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0.87631</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0.66913</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0.47387</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0.90631</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0.86603</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0.64279</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0.43388</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26</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0.89879</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0.85536</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0.61566</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0.39303</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0.89101</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0.84433</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0.58779</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0.35137</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0.88295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0.83292</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0.55919</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0.30902</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29</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0.87462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0.82115</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0.52992</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0.26604</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0.86603</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0.80902</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0.22252</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31</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0.85717</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0.79653</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0.46947</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0.17856</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32</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0.84805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0.78369</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0.43837</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0.13423</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33</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0.83867</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0.77051</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0.40674</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0.08964</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34</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0.82904</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0.75700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0.37461</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0.04486</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35</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0.81915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0.74314</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0.34202</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36</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0.80902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0.72897</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0.30902</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37</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0.79864</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0.71447</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0.27564</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0.78801</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0.69966</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0.24192</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39</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0.77715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0.68455</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0.20791</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0.76604</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0.66913</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0.17365</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41</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0.75471</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0.65342</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0.13917</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0.74314</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0.63742</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0.10453</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43</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0.73135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0.62115</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0.06976</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lastRenderedPageBreak/>
              <w:t>44</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0.71934</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0.60460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0.03490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45</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0.70711</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0.58779</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46</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0.69466</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0.57071</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0.68200</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0.55339</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48</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0.66913</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0.53583</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0.65606</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0.51803</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0.64279</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51</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0.62932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0.48175</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52</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0.61566</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0.46330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53</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0.60182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0.44464</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54</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0.58779</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0.42578</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55</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0.57358</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0.40674</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56</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0.55919</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0.38752</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57</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0.54464</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0.36812</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58</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0.52992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0.34857</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59</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0.51504</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0.32887</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60</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0.50000</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0.30902</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61</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0.48481</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0.28903</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62</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0.46947</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0.26892</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63</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0.45399</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0.24869</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64</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0.43837</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0.22835</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65</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0.42262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0.20791</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66</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0.40674</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0.18738</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67</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0.39073</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0.16677</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68</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0.37461</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0.14608</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69</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0.35837</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0.12533</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70</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0.34202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0.10453</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71</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0.32557</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0.08368</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72</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0.30902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0.06279</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73</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0.29237</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0.04188</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74</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0.27564</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0.02094</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75</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0.25882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0.24192</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77</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0.22495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78</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0.20791</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lastRenderedPageBreak/>
              <w:t>79</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0.19081</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0.17365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81</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0.15643</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82</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0.13917</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83</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0.12187</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84</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0.10453</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85</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0.08716</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86</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0.06976</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87</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0.05234</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88</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0.03490</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r w:rsidR="00B21BA0" w:rsidRPr="00190C70" w:rsidTr="00BE7BF1">
        <w:trPr>
          <w:trHeight w:val="255"/>
        </w:trPr>
        <w:tc>
          <w:tcPr>
            <w:tcW w:w="832"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89</w:t>
            </w:r>
          </w:p>
        </w:tc>
        <w:tc>
          <w:tcPr>
            <w:tcW w:w="15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0.01745</w:t>
            </w:r>
          </w:p>
        </w:tc>
        <w:tc>
          <w:tcPr>
            <w:tcW w:w="145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24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85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0.00000</w:t>
            </w:r>
          </w:p>
        </w:tc>
      </w:tr>
    </w:tbl>
    <w:p w:rsidR="00955B43" w:rsidRPr="00190C70" w:rsidRDefault="00955B43" w:rsidP="00B21BA0">
      <w:pPr>
        <w:jc w:val="both"/>
        <w:rPr>
          <w:rFonts w:cs="Arial"/>
          <w:color w:val="000000" w:themeColor="text1"/>
          <w:sz w:val="24"/>
          <w:szCs w:val="24"/>
        </w:rPr>
      </w:pPr>
    </w:p>
    <w:p w:rsidR="00B21BA0" w:rsidRPr="00190C70" w:rsidRDefault="00B21BA0" w:rsidP="00997A34">
      <w:pPr>
        <w:jc w:val="both"/>
        <w:rPr>
          <w:rFonts w:cs="Arial"/>
          <w:color w:val="000000" w:themeColor="text1"/>
          <w:sz w:val="24"/>
          <w:szCs w:val="24"/>
        </w:rPr>
      </w:pPr>
      <w:r w:rsidRPr="00190C70">
        <w:rPr>
          <w:rFonts w:cs="Arial"/>
          <w:color w:val="000000" w:themeColor="text1"/>
          <w:sz w:val="24"/>
          <w:szCs w:val="24"/>
        </w:rPr>
        <w:t>Para proceder al cálculo individual del valor metro cuadrado de la edificación se aplicará los siguientes criterios: Valor M2 de la edificación es igual a Sumatoria de los componentes básicos por sumatoria de los componentes complementarios  por piso que consta en la ficha catastral, por el factor de depreciación y por el factor de estado de conservación.</w:t>
      </w:r>
    </w:p>
    <w:tbl>
      <w:tblPr>
        <w:tblW w:w="7115" w:type="dxa"/>
        <w:tblInd w:w="55" w:type="dxa"/>
        <w:tblCellMar>
          <w:left w:w="70" w:type="dxa"/>
          <w:right w:w="70" w:type="dxa"/>
        </w:tblCellMar>
        <w:tblLook w:val="04A0" w:firstRow="1" w:lastRow="0" w:firstColumn="1" w:lastColumn="0" w:noHBand="0" w:noVBand="1"/>
      </w:tblPr>
      <w:tblGrid>
        <w:gridCol w:w="4977"/>
        <w:gridCol w:w="767"/>
        <w:gridCol w:w="1540"/>
      </w:tblGrid>
      <w:tr w:rsidR="00B21BA0" w:rsidRPr="00190C70" w:rsidTr="00BE7BF1">
        <w:trPr>
          <w:trHeight w:val="600"/>
        </w:trPr>
        <w:tc>
          <w:tcPr>
            <w:tcW w:w="4977"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ESTADO</w:t>
            </w:r>
          </w:p>
        </w:tc>
        <w:tc>
          <w:tcPr>
            <w:tcW w:w="715" w:type="dxa"/>
            <w:tcBorders>
              <w:top w:val="single" w:sz="4" w:space="0" w:color="auto"/>
              <w:left w:val="nil"/>
              <w:bottom w:val="single" w:sz="4" w:space="0" w:color="auto"/>
              <w:right w:val="single" w:sz="4" w:space="0" w:color="auto"/>
            </w:tcBorders>
            <w:shd w:val="clear" w:color="000000" w:fill="B8CCE4"/>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Factor</w:t>
            </w:r>
          </w:p>
        </w:tc>
        <w:tc>
          <w:tcPr>
            <w:tcW w:w="1423" w:type="dxa"/>
            <w:tcBorders>
              <w:top w:val="single" w:sz="4" w:space="0" w:color="auto"/>
              <w:left w:val="nil"/>
              <w:bottom w:val="single" w:sz="4" w:space="0" w:color="auto"/>
              <w:right w:val="single" w:sz="4" w:space="0" w:color="auto"/>
            </w:tcBorders>
            <w:shd w:val="clear" w:color="000000" w:fill="B8CCE4"/>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 xml:space="preserve">Factor </w:t>
            </w:r>
            <w:r w:rsidR="003E288F" w:rsidRPr="00190C70">
              <w:rPr>
                <w:rFonts w:eastAsia="Times New Roman" w:cs="Arial"/>
                <w:b/>
                <w:bCs/>
                <w:color w:val="000000" w:themeColor="text1"/>
                <w:sz w:val="24"/>
                <w:szCs w:val="24"/>
              </w:rPr>
              <w:t>depreciación</w:t>
            </w:r>
            <w:r w:rsidRPr="00190C70">
              <w:rPr>
                <w:rFonts w:eastAsia="Times New Roman" w:cs="Arial"/>
                <w:b/>
                <w:bCs/>
                <w:color w:val="000000" w:themeColor="text1"/>
                <w:sz w:val="24"/>
                <w:szCs w:val="24"/>
              </w:rPr>
              <w:t>*</w:t>
            </w:r>
          </w:p>
        </w:tc>
      </w:tr>
      <w:tr w:rsidR="00B21BA0" w:rsidRPr="00190C70" w:rsidTr="00BE7BF1">
        <w:trPr>
          <w:trHeight w:val="300"/>
        </w:trPr>
        <w:tc>
          <w:tcPr>
            <w:tcW w:w="4977"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Bueno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42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r>
      <w:tr w:rsidR="00B21BA0" w:rsidRPr="00190C70" w:rsidTr="00BE7BF1">
        <w:trPr>
          <w:trHeight w:val="300"/>
        </w:trPr>
        <w:tc>
          <w:tcPr>
            <w:tcW w:w="4977"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Regular</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w:t>
            </w:r>
          </w:p>
        </w:tc>
        <w:tc>
          <w:tcPr>
            <w:tcW w:w="142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r>
      <w:tr w:rsidR="00B21BA0" w:rsidRPr="00190C70" w:rsidTr="00BE7BF1">
        <w:trPr>
          <w:trHeight w:val="300"/>
        </w:trPr>
        <w:tc>
          <w:tcPr>
            <w:tcW w:w="4977"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Malo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w:t>
            </w:r>
          </w:p>
        </w:tc>
        <w:tc>
          <w:tcPr>
            <w:tcW w:w="142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r>
      <w:tr w:rsidR="00B21BA0" w:rsidRPr="00190C70" w:rsidTr="00BE7BF1">
        <w:trPr>
          <w:trHeight w:val="300"/>
        </w:trPr>
        <w:tc>
          <w:tcPr>
            <w:tcW w:w="4977"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Ruina</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w:t>
            </w:r>
          </w:p>
        </w:tc>
        <w:tc>
          <w:tcPr>
            <w:tcW w:w="142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r>
      <w:tr w:rsidR="00B21BA0" w:rsidRPr="00190C70" w:rsidTr="00BE7BF1">
        <w:trPr>
          <w:trHeight w:val="300"/>
        </w:trPr>
        <w:tc>
          <w:tcPr>
            <w:tcW w:w="4977"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Tomar el valor de depreciación</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c>
          <w:tcPr>
            <w:tcW w:w="142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w:t>
            </w:r>
          </w:p>
        </w:tc>
      </w:tr>
    </w:tbl>
    <w:p w:rsidR="00997A34" w:rsidRDefault="00997A34" w:rsidP="00B21BA0">
      <w:pPr>
        <w:jc w:val="both"/>
        <w:rPr>
          <w:rFonts w:cs="Arial"/>
          <w:color w:val="000000" w:themeColor="text1"/>
          <w:sz w:val="24"/>
          <w:szCs w:val="24"/>
        </w:rPr>
      </w:pPr>
    </w:p>
    <w:p w:rsidR="00B21BA0" w:rsidRPr="00190C70" w:rsidRDefault="00B21BA0" w:rsidP="00B21BA0">
      <w:pPr>
        <w:jc w:val="both"/>
        <w:rPr>
          <w:rFonts w:cs="Arial"/>
          <w:color w:val="000000" w:themeColor="text1"/>
          <w:sz w:val="24"/>
          <w:szCs w:val="24"/>
        </w:rPr>
      </w:pPr>
      <w:r w:rsidRPr="00190C70">
        <w:rPr>
          <w:rFonts w:cs="Arial"/>
          <w:color w:val="000000" w:themeColor="text1"/>
          <w:sz w:val="24"/>
          <w:szCs w:val="24"/>
        </w:rPr>
        <w:t>El valor de la edificación = Valor M2 de la edificación x superficies de cada piso.</w:t>
      </w:r>
    </w:p>
    <w:p w:rsidR="00B21BA0" w:rsidRPr="00190C70" w:rsidRDefault="003E288F" w:rsidP="00B21BA0">
      <w:pPr>
        <w:jc w:val="both"/>
        <w:rPr>
          <w:rFonts w:cs="Arial"/>
          <w:sz w:val="24"/>
          <w:szCs w:val="24"/>
        </w:rPr>
      </w:pPr>
      <w:r w:rsidRPr="00190C70">
        <w:rPr>
          <w:rFonts w:cs="Arial"/>
          <w:b/>
          <w:iCs/>
          <w:sz w:val="24"/>
          <w:szCs w:val="24"/>
          <w:lang w:val="es-ES"/>
        </w:rPr>
        <w:t>Artículo 26.-  DETERMINACIÓ</w:t>
      </w:r>
      <w:r w:rsidR="00B21BA0" w:rsidRPr="00190C70">
        <w:rPr>
          <w:rFonts w:cs="Arial"/>
          <w:b/>
          <w:iCs/>
          <w:sz w:val="24"/>
          <w:szCs w:val="24"/>
          <w:lang w:val="es-ES"/>
        </w:rPr>
        <w:t>N DE LA BASE IMPONIBLE</w:t>
      </w:r>
      <w:r w:rsidR="00B21BA0" w:rsidRPr="00190C70">
        <w:rPr>
          <w:rFonts w:cs="Arial"/>
          <w:iCs/>
          <w:sz w:val="24"/>
          <w:szCs w:val="24"/>
          <w:lang w:val="es-ES"/>
        </w:rPr>
        <w:t>.-</w:t>
      </w:r>
      <w:r w:rsidR="00B21BA0" w:rsidRPr="00190C70">
        <w:rPr>
          <w:rFonts w:cs="Arial"/>
          <w:sz w:val="24"/>
          <w:szCs w:val="24"/>
          <w:lang w:val="es-ES"/>
        </w:rPr>
        <w:t xml:space="preserve">  La base imponible se determina a partir del valor de la propiedad, en aplicación de las rebajas, deducciones y exenciones </w:t>
      </w:r>
      <w:r w:rsidR="00B21BA0" w:rsidRPr="00190C70">
        <w:rPr>
          <w:rFonts w:cs="Arial"/>
          <w:sz w:val="24"/>
          <w:szCs w:val="24"/>
        </w:rPr>
        <w:t xml:space="preserve">previstas en el </w:t>
      </w:r>
      <w:r w:rsidR="00B21BA0" w:rsidRPr="00997A34">
        <w:rPr>
          <w:rFonts w:cs="Arial"/>
          <w:sz w:val="24"/>
          <w:szCs w:val="24"/>
          <w:lang w:val="es-ES"/>
        </w:rPr>
        <w:t>Código Orgánico de Organización Territorial Autonomía y Descentralización</w:t>
      </w:r>
      <w:r w:rsidR="00B21BA0" w:rsidRPr="00190C70">
        <w:rPr>
          <w:rFonts w:cs="Arial"/>
          <w:sz w:val="24"/>
          <w:szCs w:val="24"/>
        </w:rPr>
        <w:t xml:space="preserve"> y otras leyes.</w:t>
      </w:r>
    </w:p>
    <w:p w:rsidR="00B21BA0" w:rsidRPr="00190C70" w:rsidRDefault="00B21BA0" w:rsidP="00C363C7">
      <w:pPr>
        <w:jc w:val="both"/>
        <w:rPr>
          <w:rFonts w:cs="Arial"/>
          <w:bCs/>
          <w:sz w:val="24"/>
          <w:szCs w:val="24"/>
          <w:lang w:val="es-ES"/>
        </w:rPr>
      </w:pPr>
      <w:r w:rsidRPr="00190C70">
        <w:rPr>
          <w:rFonts w:cs="Arial"/>
          <w:b/>
          <w:iCs/>
          <w:sz w:val="24"/>
          <w:szCs w:val="24"/>
          <w:lang w:val="es-ES"/>
        </w:rPr>
        <w:lastRenderedPageBreak/>
        <w:t xml:space="preserve">Artículo 27.- IMPUESTO ANUAL ADICIONAL A PROPIETARIOS DE SOLARES NO EDIFICADOS O DE CONSTRUCCIONES OBSOLETAS EN ZONAS DE PROMOCION INMEDIATA.- </w:t>
      </w:r>
      <w:r w:rsidRPr="00190C70">
        <w:rPr>
          <w:rFonts w:cs="Arial"/>
          <w:bCs/>
          <w:sz w:val="24"/>
          <w:szCs w:val="24"/>
          <w:lang w:val="es-ES"/>
        </w:rPr>
        <w:t xml:space="preserve">Los </w:t>
      </w:r>
      <w:r w:rsidR="0060099F" w:rsidRPr="00190C70">
        <w:rPr>
          <w:rFonts w:cs="Arial"/>
          <w:bCs/>
          <w:sz w:val="24"/>
          <w:szCs w:val="24"/>
          <w:lang w:val="es-ES"/>
        </w:rPr>
        <w:t xml:space="preserve"> </w:t>
      </w:r>
      <w:r w:rsidRPr="00190C70">
        <w:rPr>
          <w:rFonts w:cs="Arial"/>
          <w:bCs/>
          <w:sz w:val="24"/>
          <w:szCs w:val="24"/>
          <w:lang w:val="es-ES"/>
        </w:rPr>
        <w:t xml:space="preserve">propietarios </w:t>
      </w:r>
      <w:r w:rsidR="0060099F" w:rsidRPr="00190C70">
        <w:rPr>
          <w:rFonts w:cs="Arial"/>
          <w:bCs/>
          <w:sz w:val="24"/>
          <w:szCs w:val="24"/>
          <w:lang w:val="es-ES"/>
        </w:rPr>
        <w:t xml:space="preserve"> </w:t>
      </w:r>
      <w:r w:rsidRPr="00190C70">
        <w:rPr>
          <w:rFonts w:cs="Arial"/>
          <w:bCs/>
          <w:sz w:val="24"/>
          <w:szCs w:val="24"/>
          <w:lang w:val="es-ES"/>
        </w:rPr>
        <w:t xml:space="preserve">de </w:t>
      </w:r>
      <w:r w:rsidR="0060099F" w:rsidRPr="00190C70">
        <w:rPr>
          <w:rFonts w:cs="Arial"/>
          <w:bCs/>
          <w:sz w:val="24"/>
          <w:szCs w:val="24"/>
          <w:lang w:val="es-ES"/>
        </w:rPr>
        <w:t xml:space="preserve"> </w:t>
      </w:r>
      <w:r w:rsidRPr="00190C70">
        <w:rPr>
          <w:rFonts w:cs="Arial"/>
          <w:bCs/>
          <w:sz w:val="24"/>
          <w:szCs w:val="24"/>
          <w:lang w:val="es-ES"/>
        </w:rPr>
        <w:t xml:space="preserve">solares </w:t>
      </w:r>
      <w:r w:rsidR="0060099F" w:rsidRPr="00190C70">
        <w:rPr>
          <w:rFonts w:cs="Arial"/>
          <w:bCs/>
          <w:sz w:val="24"/>
          <w:szCs w:val="24"/>
          <w:lang w:val="es-ES"/>
        </w:rPr>
        <w:t xml:space="preserve"> </w:t>
      </w:r>
      <w:r w:rsidRPr="00190C70">
        <w:rPr>
          <w:rFonts w:cs="Arial"/>
          <w:bCs/>
          <w:sz w:val="24"/>
          <w:szCs w:val="24"/>
          <w:lang w:val="es-ES"/>
        </w:rPr>
        <w:t xml:space="preserve">no </w:t>
      </w:r>
      <w:r w:rsidR="0060099F" w:rsidRPr="00190C70">
        <w:rPr>
          <w:rFonts w:cs="Arial"/>
          <w:bCs/>
          <w:sz w:val="24"/>
          <w:szCs w:val="24"/>
          <w:lang w:val="es-ES"/>
        </w:rPr>
        <w:t xml:space="preserve"> </w:t>
      </w:r>
      <w:r w:rsidRPr="00190C70">
        <w:rPr>
          <w:rFonts w:cs="Arial"/>
          <w:bCs/>
          <w:sz w:val="24"/>
          <w:szCs w:val="24"/>
          <w:lang w:val="es-ES"/>
        </w:rPr>
        <w:t>edificados</w:t>
      </w:r>
      <w:r w:rsidR="0060099F" w:rsidRPr="00190C70">
        <w:rPr>
          <w:rFonts w:cs="Arial"/>
          <w:bCs/>
          <w:sz w:val="24"/>
          <w:szCs w:val="24"/>
          <w:lang w:val="es-ES"/>
        </w:rPr>
        <w:t xml:space="preserve"> </w:t>
      </w:r>
      <w:r w:rsidRPr="00190C70">
        <w:rPr>
          <w:rFonts w:cs="Arial"/>
          <w:bCs/>
          <w:sz w:val="24"/>
          <w:szCs w:val="24"/>
          <w:lang w:val="es-ES"/>
        </w:rPr>
        <w:t xml:space="preserve"> y construcciones obsoletas</w:t>
      </w:r>
      <w:r w:rsidR="00955B43" w:rsidRPr="00190C70">
        <w:rPr>
          <w:rFonts w:cs="Arial"/>
          <w:bCs/>
          <w:sz w:val="24"/>
          <w:szCs w:val="24"/>
          <w:lang w:val="es-ES"/>
        </w:rPr>
        <w:t xml:space="preserve"> </w:t>
      </w:r>
      <w:r w:rsidRPr="00190C70">
        <w:rPr>
          <w:rFonts w:cs="Arial"/>
          <w:bCs/>
          <w:sz w:val="24"/>
          <w:szCs w:val="24"/>
          <w:lang w:val="es-ES"/>
        </w:rPr>
        <w:t xml:space="preserve">ubicadas en </w:t>
      </w:r>
      <w:r w:rsidRPr="00C363C7">
        <w:rPr>
          <w:rFonts w:cs="Arial"/>
          <w:bCs/>
          <w:sz w:val="24"/>
          <w:szCs w:val="24"/>
          <w:lang w:val="es-ES"/>
        </w:rPr>
        <w:t>zonas de promoción inmediata</w:t>
      </w:r>
      <w:r w:rsidRPr="00190C70">
        <w:rPr>
          <w:rFonts w:cs="Arial"/>
          <w:bCs/>
          <w:sz w:val="24"/>
          <w:szCs w:val="24"/>
          <w:lang w:val="es-ES"/>
        </w:rPr>
        <w:t xml:space="preserve"> descrita en el </w:t>
      </w:r>
      <w:r w:rsidRPr="00190C70">
        <w:rPr>
          <w:rFonts w:cs="Arial"/>
          <w:sz w:val="24"/>
          <w:szCs w:val="24"/>
          <w:lang w:val="es-ES"/>
        </w:rPr>
        <w:t>Código Orgánico de Organización Territorial Autonomía y Descentralización</w:t>
      </w:r>
      <w:r w:rsidRPr="00190C70">
        <w:rPr>
          <w:rFonts w:cs="Arial"/>
          <w:bCs/>
          <w:sz w:val="24"/>
          <w:szCs w:val="24"/>
          <w:lang w:val="es-ES"/>
        </w:rPr>
        <w:t>, pagarán un impuesto adicional, de acuerdo con las siguientes alícuotas:</w:t>
      </w:r>
    </w:p>
    <w:p w:rsidR="00B21BA0" w:rsidRPr="00190C70" w:rsidRDefault="00B21BA0" w:rsidP="00C363C7">
      <w:pPr>
        <w:pStyle w:val="Prrafodelista"/>
        <w:numPr>
          <w:ilvl w:val="0"/>
          <w:numId w:val="14"/>
        </w:numPr>
        <w:spacing w:after="0"/>
        <w:ind w:left="426"/>
        <w:jc w:val="both"/>
        <w:rPr>
          <w:rFonts w:cs="Arial"/>
          <w:sz w:val="24"/>
          <w:szCs w:val="24"/>
          <w:lang w:val="es-ES"/>
        </w:rPr>
      </w:pPr>
      <w:r w:rsidRPr="00190C70">
        <w:rPr>
          <w:rFonts w:cs="Arial"/>
          <w:sz w:val="24"/>
          <w:szCs w:val="24"/>
          <w:lang w:val="es-ES"/>
        </w:rPr>
        <w:t>El 1º/</w:t>
      </w:r>
      <w:proofErr w:type="spellStart"/>
      <w:r w:rsidRPr="00190C70">
        <w:rPr>
          <w:rFonts w:cs="Arial"/>
          <w:sz w:val="24"/>
          <w:szCs w:val="24"/>
          <w:lang w:val="es-ES"/>
        </w:rPr>
        <w:t>oo</w:t>
      </w:r>
      <w:proofErr w:type="spellEnd"/>
      <w:r w:rsidRPr="00190C70">
        <w:rPr>
          <w:rFonts w:cs="Arial"/>
          <w:sz w:val="24"/>
          <w:szCs w:val="24"/>
          <w:lang w:val="es-ES"/>
        </w:rPr>
        <w:t xml:space="preserve"> ( uno por mil ) adicional que se cobrará sobre el valor de la propiedad de los solares no edificados; y, </w:t>
      </w:r>
    </w:p>
    <w:p w:rsidR="00B21BA0" w:rsidRPr="00190C70" w:rsidRDefault="00B21BA0" w:rsidP="003E288F">
      <w:pPr>
        <w:spacing w:after="0" w:line="240" w:lineRule="auto"/>
        <w:ind w:left="426"/>
        <w:jc w:val="both"/>
        <w:rPr>
          <w:rFonts w:cs="Arial"/>
          <w:sz w:val="24"/>
          <w:szCs w:val="24"/>
          <w:lang w:val="es-ES"/>
        </w:rPr>
      </w:pPr>
    </w:p>
    <w:p w:rsidR="00B21BA0" w:rsidRPr="00190C70" w:rsidRDefault="00B21BA0" w:rsidP="00C363C7">
      <w:pPr>
        <w:pStyle w:val="Prrafodelista"/>
        <w:numPr>
          <w:ilvl w:val="0"/>
          <w:numId w:val="14"/>
        </w:numPr>
        <w:spacing w:after="0"/>
        <w:ind w:left="426"/>
        <w:jc w:val="both"/>
        <w:rPr>
          <w:rFonts w:cs="Arial"/>
          <w:sz w:val="24"/>
          <w:szCs w:val="24"/>
          <w:lang w:val="es-ES"/>
        </w:rPr>
      </w:pPr>
      <w:r w:rsidRPr="00190C70">
        <w:rPr>
          <w:rFonts w:cs="Arial"/>
          <w:sz w:val="24"/>
          <w:szCs w:val="24"/>
          <w:lang w:val="es-ES"/>
        </w:rPr>
        <w:t>El 2º/</w:t>
      </w:r>
      <w:proofErr w:type="spellStart"/>
      <w:r w:rsidRPr="00190C70">
        <w:rPr>
          <w:rFonts w:cs="Arial"/>
          <w:sz w:val="24"/>
          <w:szCs w:val="24"/>
          <w:lang w:val="es-ES"/>
        </w:rPr>
        <w:t>oo</w:t>
      </w:r>
      <w:proofErr w:type="spellEnd"/>
      <w:r w:rsidRPr="00190C70">
        <w:rPr>
          <w:rFonts w:cs="Arial"/>
          <w:sz w:val="24"/>
          <w:szCs w:val="24"/>
          <w:lang w:val="es-ES"/>
        </w:rPr>
        <w:t xml:space="preserve"> (dos por mil) adicional que se cobrará sobre el valor de la propiedad de las propiedades consideradas obsoletas, de acuerdo con lo establecido en este código.</w:t>
      </w:r>
    </w:p>
    <w:p w:rsidR="00B21BA0" w:rsidRPr="00190C70" w:rsidRDefault="00B21BA0" w:rsidP="00B21BA0">
      <w:pPr>
        <w:spacing w:after="0"/>
        <w:ind w:left="1080"/>
        <w:jc w:val="both"/>
        <w:rPr>
          <w:rFonts w:cs="Arial"/>
          <w:sz w:val="24"/>
          <w:szCs w:val="24"/>
          <w:lang w:val="es-ES"/>
        </w:rPr>
      </w:pPr>
    </w:p>
    <w:p w:rsidR="00B21BA0" w:rsidRPr="00190C70" w:rsidRDefault="00B21BA0" w:rsidP="00C363C7">
      <w:pPr>
        <w:spacing w:after="0"/>
        <w:jc w:val="both"/>
        <w:rPr>
          <w:rFonts w:cs="Arial"/>
          <w:sz w:val="24"/>
          <w:szCs w:val="24"/>
          <w:lang w:val="es-ES"/>
        </w:rPr>
      </w:pPr>
      <w:r w:rsidRPr="00190C70">
        <w:rPr>
          <w:rFonts w:cs="Arial"/>
          <w:sz w:val="24"/>
          <w:szCs w:val="24"/>
          <w:lang w:val="es-ES"/>
        </w:rPr>
        <w:t>Este impuesto se deberá transcurrido un año desde la declaración de la zona de promoción inmediata, para los contribuyentes comprendidos en la letra a).</w:t>
      </w:r>
      <w:r w:rsidR="003E288F" w:rsidRPr="00190C70">
        <w:rPr>
          <w:rFonts w:cs="Arial"/>
          <w:sz w:val="24"/>
          <w:szCs w:val="24"/>
          <w:lang w:val="es-ES"/>
        </w:rPr>
        <w:t xml:space="preserve"> </w:t>
      </w:r>
      <w:r w:rsidRPr="00190C70">
        <w:rPr>
          <w:rFonts w:cs="Arial"/>
          <w:sz w:val="24"/>
          <w:szCs w:val="24"/>
          <w:lang w:val="es-ES"/>
        </w:rPr>
        <w:t>Para los contribuyentes comprendidos en la letra b), el impuesto se deberá transcurrido un año desde la respectiva notificación.</w:t>
      </w:r>
    </w:p>
    <w:p w:rsidR="00B21BA0" w:rsidRPr="00190C70" w:rsidRDefault="00B21BA0" w:rsidP="00B21BA0">
      <w:pPr>
        <w:spacing w:after="0"/>
        <w:ind w:left="1080"/>
        <w:jc w:val="both"/>
        <w:rPr>
          <w:rFonts w:cs="Arial"/>
          <w:sz w:val="24"/>
          <w:szCs w:val="24"/>
          <w:lang w:val="es-ES"/>
        </w:rPr>
      </w:pPr>
    </w:p>
    <w:p w:rsidR="00B21BA0" w:rsidRPr="00190C70" w:rsidRDefault="00B21BA0" w:rsidP="00C363C7">
      <w:pPr>
        <w:jc w:val="both"/>
        <w:rPr>
          <w:rFonts w:cs="Arial"/>
          <w:sz w:val="24"/>
          <w:szCs w:val="24"/>
          <w:lang w:val="es-ES"/>
        </w:rPr>
      </w:pPr>
      <w:r w:rsidRPr="00190C70">
        <w:rPr>
          <w:rFonts w:cs="Arial"/>
          <w:sz w:val="24"/>
          <w:szCs w:val="24"/>
        </w:rPr>
        <w:t>Las zonas de promoción inmediata las definirá la municipalidad en su territorio urbano del cantón mediante ordenanza.</w:t>
      </w:r>
    </w:p>
    <w:p w:rsidR="00B21BA0" w:rsidRPr="00190C70" w:rsidRDefault="00B21BA0" w:rsidP="00C363C7">
      <w:pPr>
        <w:jc w:val="both"/>
        <w:rPr>
          <w:rFonts w:cs="Arial"/>
          <w:sz w:val="24"/>
          <w:szCs w:val="24"/>
          <w:lang w:val="es-ES"/>
        </w:rPr>
      </w:pPr>
      <w:r w:rsidRPr="00190C70">
        <w:rPr>
          <w:rFonts w:cs="Arial"/>
          <w:b/>
          <w:iCs/>
          <w:sz w:val="24"/>
          <w:szCs w:val="24"/>
          <w:lang w:val="es-ES"/>
        </w:rPr>
        <w:t>Artículo 28.-  RECARGO A LOS SOLARES NO EDIFICADOS</w:t>
      </w:r>
      <w:r w:rsidRPr="00190C70">
        <w:rPr>
          <w:rFonts w:cs="Arial"/>
          <w:iCs/>
          <w:sz w:val="24"/>
          <w:szCs w:val="24"/>
          <w:lang w:val="es-ES"/>
        </w:rPr>
        <w:t>.-</w:t>
      </w:r>
      <w:r w:rsidRPr="00190C70">
        <w:rPr>
          <w:rFonts w:cs="Arial"/>
          <w:sz w:val="24"/>
          <w:szCs w:val="24"/>
          <w:lang w:val="es-ES"/>
        </w:rPr>
        <w:t xml:space="preserve">  El recargo del dos por mil (2º/</w:t>
      </w:r>
      <w:proofErr w:type="spellStart"/>
      <w:r w:rsidRPr="00190C70">
        <w:rPr>
          <w:rFonts w:cs="Arial"/>
          <w:sz w:val="24"/>
          <w:szCs w:val="24"/>
          <w:lang w:val="es-ES"/>
        </w:rPr>
        <w:t>oo</w:t>
      </w:r>
      <w:proofErr w:type="spellEnd"/>
      <w:r w:rsidRPr="00190C70">
        <w:rPr>
          <w:rFonts w:cs="Arial"/>
          <w:sz w:val="24"/>
          <w:szCs w:val="24"/>
          <w:lang w:val="es-ES"/>
        </w:rPr>
        <w:t xml:space="preserve">) anual que se cobrará a los solares no edificados, hasta que se realice la edificación, para su aplicación se estará a lo dispuesto en el Código Orgánico de Organización Territorial Autonomía y Descentralización. Y el Plan de Ordenamiento territorial. </w:t>
      </w:r>
    </w:p>
    <w:p w:rsidR="00C363C7" w:rsidRDefault="00B21BA0" w:rsidP="00C363C7">
      <w:pPr>
        <w:jc w:val="both"/>
        <w:rPr>
          <w:rFonts w:cs="Arial"/>
          <w:iCs/>
          <w:sz w:val="24"/>
          <w:szCs w:val="24"/>
        </w:rPr>
      </w:pPr>
      <w:r w:rsidRPr="00190C70">
        <w:rPr>
          <w:rFonts w:cs="Arial"/>
          <w:b/>
          <w:iCs/>
          <w:sz w:val="24"/>
          <w:szCs w:val="24"/>
          <w:lang w:val="es-ES"/>
        </w:rPr>
        <w:t>Artículo 29.- ADICIONAL CUERPO DE BOMBEROS.-</w:t>
      </w:r>
      <w:r w:rsidRPr="00190C70">
        <w:rPr>
          <w:rFonts w:cs="Arial"/>
          <w:sz w:val="24"/>
          <w:szCs w:val="24"/>
          <w:lang w:val="es-ES"/>
        </w:rPr>
        <w:t xml:space="preserve"> Para la determinación del impuesto adicional que financia el servicio contra incendios en beneficio del Cuerpo de Bomberos del Cantón, que son adscritos al GAD municipal, en su determinación se aplicará el 0.15º/</w:t>
      </w:r>
      <w:proofErr w:type="spellStart"/>
      <w:r w:rsidRPr="00190C70">
        <w:rPr>
          <w:rFonts w:cs="Arial"/>
          <w:sz w:val="24"/>
          <w:szCs w:val="24"/>
          <w:lang w:val="es-ES"/>
        </w:rPr>
        <w:t>oo</w:t>
      </w:r>
      <w:proofErr w:type="spellEnd"/>
      <w:r w:rsidRPr="00190C70">
        <w:rPr>
          <w:rFonts w:cs="Arial"/>
          <w:sz w:val="24"/>
          <w:szCs w:val="24"/>
          <w:lang w:val="es-ES"/>
        </w:rPr>
        <w:t xml:space="preserve"> (cero punto quince por mil) del valor de la propiedad y su recaudación ira a la partida</w:t>
      </w:r>
      <w:r w:rsidR="00C363C7">
        <w:rPr>
          <w:rFonts w:cs="Arial"/>
          <w:sz w:val="24"/>
          <w:szCs w:val="24"/>
          <w:lang w:val="es-ES"/>
        </w:rPr>
        <w:t xml:space="preserve">  </w:t>
      </w:r>
      <w:r w:rsidRPr="00190C70">
        <w:rPr>
          <w:rFonts w:cs="Arial"/>
          <w:sz w:val="24"/>
          <w:szCs w:val="24"/>
          <w:lang w:val="es-ES"/>
        </w:rPr>
        <w:t xml:space="preserve"> presupuestaria</w:t>
      </w:r>
      <w:r w:rsidR="00C363C7">
        <w:rPr>
          <w:rFonts w:cs="Arial"/>
          <w:sz w:val="24"/>
          <w:szCs w:val="24"/>
          <w:lang w:val="es-ES"/>
        </w:rPr>
        <w:t xml:space="preserve"> </w:t>
      </w:r>
      <w:r w:rsidRPr="00190C70">
        <w:rPr>
          <w:rFonts w:cs="Arial"/>
          <w:sz w:val="24"/>
          <w:szCs w:val="24"/>
          <w:lang w:val="es-ES"/>
        </w:rPr>
        <w:t xml:space="preserve"> correspondiente,</w:t>
      </w:r>
      <w:r w:rsidR="00C363C7">
        <w:rPr>
          <w:rFonts w:cs="Arial"/>
          <w:sz w:val="24"/>
          <w:szCs w:val="24"/>
          <w:lang w:val="es-ES"/>
        </w:rPr>
        <w:t xml:space="preserve"> </w:t>
      </w:r>
      <w:r w:rsidRPr="00190C70">
        <w:rPr>
          <w:rFonts w:cs="Arial"/>
          <w:sz w:val="24"/>
          <w:szCs w:val="24"/>
          <w:lang w:val="es-ES"/>
        </w:rPr>
        <w:t xml:space="preserve"> según </w:t>
      </w:r>
      <w:r w:rsidRPr="00190C70">
        <w:rPr>
          <w:rFonts w:cs="Arial"/>
          <w:noProof/>
          <w:sz w:val="24"/>
          <w:szCs w:val="24"/>
        </w:rPr>
        <w:t>artículo</w:t>
      </w:r>
      <w:r w:rsidRPr="00190C70">
        <w:rPr>
          <w:rFonts w:cs="Arial"/>
          <w:sz w:val="24"/>
          <w:szCs w:val="24"/>
          <w:lang w:val="es-ES"/>
        </w:rPr>
        <w:t xml:space="preserve"> 17 numeral 7, de la </w:t>
      </w:r>
      <w:r w:rsidRPr="00190C70">
        <w:rPr>
          <w:rFonts w:cs="Arial"/>
          <w:iCs/>
          <w:sz w:val="24"/>
          <w:szCs w:val="24"/>
        </w:rPr>
        <w:t>Ley 2004-44</w:t>
      </w:r>
      <w:r w:rsidR="00C363C7">
        <w:rPr>
          <w:rFonts w:cs="Arial"/>
          <w:iCs/>
          <w:sz w:val="24"/>
          <w:szCs w:val="24"/>
        </w:rPr>
        <w:t>,</w:t>
      </w:r>
      <w:r w:rsidRPr="00190C70">
        <w:rPr>
          <w:rFonts w:cs="Arial"/>
          <w:iCs/>
          <w:sz w:val="24"/>
          <w:szCs w:val="24"/>
        </w:rPr>
        <w:t xml:space="preserve"> </w:t>
      </w:r>
    </w:p>
    <w:p w:rsidR="00C363C7" w:rsidRDefault="00C363C7" w:rsidP="00C363C7">
      <w:pPr>
        <w:jc w:val="both"/>
        <w:rPr>
          <w:rFonts w:cs="Arial"/>
          <w:iCs/>
          <w:sz w:val="24"/>
          <w:szCs w:val="24"/>
        </w:rPr>
      </w:pPr>
    </w:p>
    <w:p w:rsidR="00B21BA0" w:rsidRPr="00190C70" w:rsidRDefault="00B21BA0" w:rsidP="00C363C7">
      <w:pPr>
        <w:jc w:val="both"/>
        <w:rPr>
          <w:rFonts w:cs="Arial"/>
          <w:iCs/>
          <w:sz w:val="24"/>
          <w:szCs w:val="24"/>
        </w:rPr>
      </w:pPr>
      <w:r w:rsidRPr="00190C70">
        <w:rPr>
          <w:rFonts w:cs="Arial"/>
          <w:iCs/>
          <w:sz w:val="24"/>
          <w:szCs w:val="24"/>
        </w:rPr>
        <w:lastRenderedPageBreak/>
        <w:t>Reg. Of. No. 429, 27 septiembre de 2004. (Ley Orgánica del sector eléctrico para el cobro de la tasa a los bomberos por servicio en relación a</w:t>
      </w:r>
      <w:r w:rsidR="00C363C7">
        <w:rPr>
          <w:rFonts w:cs="Arial"/>
          <w:iCs/>
          <w:sz w:val="24"/>
          <w:szCs w:val="24"/>
        </w:rPr>
        <w:t>l consumo de energía eléctrica).</w:t>
      </w:r>
    </w:p>
    <w:p w:rsidR="00C363C7" w:rsidRDefault="00B21BA0" w:rsidP="00C363C7">
      <w:pPr>
        <w:spacing w:after="0"/>
        <w:jc w:val="both"/>
        <w:rPr>
          <w:rFonts w:cs="Arial"/>
          <w:sz w:val="24"/>
          <w:szCs w:val="24"/>
        </w:rPr>
      </w:pPr>
      <w:r w:rsidRPr="00190C70">
        <w:rPr>
          <w:rFonts w:cs="Arial"/>
          <w:b/>
          <w:iCs/>
          <w:sz w:val="24"/>
          <w:szCs w:val="24"/>
          <w:lang w:val="es-ES"/>
        </w:rPr>
        <w:t>Artículo 30.- DETERMINACION DEL IMPUESTO PREDIAL</w:t>
      </w:r>
      <w:r w:rsidRPr="00190C70">
        <w:rPr>
          <w:rFonts w:cs="Arial"/>
          <w:iCs/>
          <w:sz w:val="24"/>
          <w:szCs w:val="24"/>
          <w:lang w:val="es-ES"/>
        </w:rPr>
        <w:t>.-</w:t>
      </w:r>
      <w:r w:rsidRPr="00190C70">
        <w:rPr>
          <w:rFonts w:cs="Arial"/>
          <w:sz w:val="24"/>
          <w:szCs w:val="24"/>
          <w:lang w:val="es-ES"/>
        </w:rPr>
        <w:t xml:space="preserve">  Para determinar la cuantía el impuesto predial urbano, se </w:t>
      </w:r>
      <w:r w:rsidRPr="00190C70">
        <w:rPr>
          <w:rFonts w:cs="Arial"/>
          <w:sz w:val="24"/>
          <w:szCs w:val="24"/>
        </w:rPr>
        <w:t>aplicará la Tarifa del  uno por mil (0.001%. por mil), calculado sobre el valor imponible.</w:t>
      </w:r>
    </w:p>
    <w:p w:rsidR="00C363C7" w:rsidRPr="00190C70" w:rsidRDefault="00C363C7" w:rsidP="00C363C7">
      <w:pPr>
        <w:spacing w:after="0"/>
        <w:jc w:val="both"/>
        <w:rPr>
          <w:rFonts w:cs="Arial"/>
          <w:sz w:val="24"/>
          <w:szCs w:val="24"/>
        </w:rPr>
      </w:pPr>
    </w:p>
    <w:p w:rsidR="00B21BA0" w:rsidRDefault="00B21BA0" w:rsidP="00C363C7">
      <w:pPr>
        <w:spacing w:after="0"/>
        <w:jc w:val="both"/>
        <w:rPr>
          <w:rFonts w:cs="Arial"/>
          <w:sz w:val="24"/>
          <w:szCs w:val="24"/>
          <w:lang w:val="es-ES"/>
        </w:rPr>
      </w:pPr>
      <w:r w:rsidRPr="00190C70">
        <w:rPr>
          <w:rFonts w:cs="Arial"/>
          <w:b/>
          <w:iCs/>
          <w:sz w:val="24"/>
          <w:szCs w:val="24"/>
          <w:lang w:val="es-ES"/>
        </w:rPr>
        <w:t>Artículo 31.- LIQUIDACION ACUMULADA.-</w:t>
      </w:r>
      <w:r w:rsidRPr="00190C70">
        <w:rPr>
          <w:rFonts w:cs="Arial"/>
          <w:sz w:val="24"/>
          <w:szCs w:val="24"/>
          <w:lang w:val="es-ES"/>
        </w:rPr>
        <w:t xml:space="preserve"> Cuando un propietario posea varios predios avaluados separadamente en la misma jurisdicción municipal, para formar el catastro y establecer el valor imponible, se sumaran los valores imponibles de los distintos predios, incluido los derechos que posea en condominio, luego de efectuar la deducción por cargas hipotecarias que afecten a cada predio. Se tomará como base lo dispuesto por el Código Orgánico de Organización Territorial Autonomía y Descentralización.</w:t>
      </w:r>
    </w:p>
    <w:p w:rsidR="00C363C7" w:rsidRPr="00190C70" w:rsidRDefault="00C363C7" w:rsidP="00C363C7">
      <w:pPr>
        <w:spacing w:after="0"/>
        <w:jc w:val="both"/>
        <w:rPr>
          <w:rFonts w:cs="Arial"/>
          <w:sz w:val="24"/>
          <w:szCs w:val="24"/>
          <w:lang w:val="es-ES"/>
        </w:rPr>
      </w:pPr>
    </w:p>
    <w:p w:rsidR="00955B43" w:rsidRPr="00190C70" w:rsidRDefault="00B21BA0" w:rsidP="00955B43">
      <w:pPr>
        <w:jc w:val="both"/>
        <w:rPr>
          <w:rFonts w:cs="Arial"/>
          <w:sz w:val="24"/>
          <w:szCs w:val="24"/>
          <w:lang w:val="es-ES"/>
        </w:rPr>
      </w:pPr>
      <w:r w:rsidRPr="00190C70">
        <w:rPr>
          <w:rFonts w:cs="Arial"/>
          <w:b/>
          <w:iCs/>
          <w:sz w:val="24"/>
          <w:szCs w:val="24"/>
          <w:lang w:val="es-ES"/>
        </w:rPr>
        <w:t>Artículo 32.- NORMAS RELATIVAS A PREDIOS EN CONDOMINIO.-</w:t>
      </w:r>
      <w:r w:rsidRPr="00190C70">
        <w:rPr>
          <w:rFonts w:cs="Arial"/>
          <w:sz w:val="24"/>
          <w:szCs w:val="24"/>
          <w:lang w:val="es-ES"/>
        </w:rPr>
        <w:t xml:space="preserve"> Cuando un predio pertenezca a varios condóminos podrán éstos de común acuerdo, o uno de ellos, pedir que en el catastro se haga constar separadamente el valor que corresponda a su propiedad según los títulos de la copropiedad de conformidad con lo que establece el Código Orgánico de Organización Territorial Autonomía y Descentralización y en relación a la Ley de Propiedad Horizontal y su Reglamento. </w:t>
      </w:r>
    </w:p>
    <w:p w:rsidR="00B21BA0" w:rsidRPr="00190C70" w:rsidRDefault="00B21BA0" w:rsidP="00C363C7">
      <w:pPr>
        <w:jc w:val="both"/>
        <w:rPr>
          <w:rFonts w:cs="Arial"/>
          <w:sz w:val="24"/>
          <w:szCs w:val="24"/>
        </w:rPr>
      </w:pPr>
      <w:r w:rsidRPr="00190C70">
        <w:rPr>
          <w:rFonts w:cs="Arial"/>
          <w:b/>
          <w:iCs/>
          <w:sz w:val="24"/>
          <w:szCs w:val="24"/>
          <w:lang w:val="es-ES"/>
        </w:rPr>
        <w:t xml:space="preserve">Artículo 33.- ZONAS URBANO MARGINALES.- </w:t>
      </w:r>
      <w:r w:rsidRPr="00190C70">
        <w:rPr>
          <w:rFonts w:cs="Arial"/>
          <w:sz w:val="24"/>
          <w:szCs w:val="24"/>
          <w:lang w:val="es-ES_tradnl"/>
        </w:rPr>
        <w:t>Están exentas del pago de los impuestos a que se refiere la presente sección las siguientes propiedades:</w:t>
      </w:r>
    </w:p>
    <w:p w:rsidR="00B21BA0" w:rsidRPr="00190C70" w:rsidRDefault="00B21BA0" w:rsidP="00C363C7">
      <w:pPr>
        <w:jc w:val="both"/>
        <w:rPr>
          <w:rFonts w:cs="Arial"/>
          <w:sz w:val="24"/>
          <w:szCs w:val="24"/>
          <w:lang w:val="es-ES_tradnl"/>
        </w:rPr>
      </w:pPr>
      <w:r w:rsidRPr="00190C70">
        <w:rPr>
          <w:rFonts w:cs="Arial"/>
          <w:sz w:val="24"/>
          <w:szCs w:val="24"/>
          <w:lang w:val="es-ES_tradnl"/>
        </w:rPr>
        <w:t xml:space="preserve">Los predios unifamiliares urbano-marginales con </w:t>
      </w:r>
      <w:r w:rsidRPr="00190C70">
        <w:rPr>
          <w:rFonts w:cs="Arial"/>
          <w:spacing w:val="-1"/>
          <w:sz w:val="24"/>
          <w:szCs w:val="24"/>
          <w:lang w:val="es-ES_tradnl"/>
        </w:rPr>
        <w:t xml:space="preserve">avalúos de hasta veinticinco remuneraciones básicas </w:t>
      </w:r>
      <w:r w:rsidRPr="00190C70">
        <w:rPr>
          <w:rFonts w:cs="Arial"/>
          <w:sz w:val="24"/>
          <w:szCs w:val="24"/>
          <w:lang w:val="es-ES_tradnl"/>
        </w:rPr>
        <w:t>unificadas del trabajador en general.</w:t>
      </w:r>
    </w:p>
    <w:p w:rsidR="00B21BA0" w:rsidRPr="00190C70" w:rsidRDefault="00B21BA0" w:rsidP="00C363C7">
      <w:pPr>
        <w:jc w:val="both"/>
        <w:rPr>
          <w:rFonts w:cs="Arial"/>
          <w:sz w:val="24"/>
          <w:szCs w:val="24"/>
          <w:lang w:val="es-ES"/>
        </w:rPr>
      </w:pPr>
      <w:r w:rsidRPr="00190C70">
        <w:rPr>
          <w:rFonts w:cs="Arial"/>
          <w:sz w:val="24"/>
          <w:szCs w:val="24"/>
        </w:rPr>
        <w:t>Las zonas urbano-marginales las definirá la municipalidad en el territorio urbano del cantón mediante ordenanza.</w:t>
      </w:r>
    </w:p>
    <w:p w:rsidR="00B21BA0" w:rsidRPr="00190C70" w:rsidRDefault="00B21BA0" w:rsidP="00D02704">
      <w:pPr>
        <w:jc w:val="both"/>
        <w:rPr>
          <w:rFonts w:cs="Arial"/>
          <w:sz w:val="24"/>
          <w:szCs w:val="24"/>
          <w:lang w:val="es-ES"/>
        </w:rPr>
      </w:pPr>
      <w:r w:rsidRPr="00190C70">
        <w:rPr>
          <w:rFonts w:cs="Arial"/>
          <w:b/>
          <w:iCs/>
          <w:sz w:val="24"/>
          <w:szCs w:val="24"/>
          <w:lang w:val="es-ES"/>
        </w:rPr>
        <w:t>Artículo 34.- EPOCA DE PAGO.-</w:t>
      </w:r>
      <w:r w:rsidRPr="00190C70">
        <w:rPr>
          <w:rFonts w:cs="Arial"/>
          <w:sz w:val="24"/>
          <w:szCs w:val="24"/>
          <w:lang w:val="es-ES"/>
        </w:rPr>
        <w:t xml:space="preserve">  El impuesto debe pagarse en el curso del respectivo año. Los pagos podrán efectuarse desde el primero de enero de cada año, </w:t>
      </w:r>
      <w:proofErr w:type="spellStart"/>
      <w:r w:rsidRPr="00190C70">
        <w:rPr>
          <w:rFonts w:cs="Arial"/>
          <w:sz w:val="24"/>
          <w:szCs w:val="24"/>
          <w:lang w:val="es-ES"/>
        </w:rPr>
        <w:t>aún</w:t>
      </w:r>
      <w:proofErr w:type="spellEnd"/>
      <w:r w:rsidRPr="00190C70">
        <w:rPr>
          <w:rFonts w:cs="Arial"/>
          <w:sz w:val="24"/>
          <w:szCs w:val="24"/>
          <w:lang w:val="es-ES"/>
        </w:rPr>
        <w:t xml:space="preserve"> cuando no se hubiere emitido el catastro. En este caso, se realizará el pago a base del catastro del año </w:t>
      </w:r>
      <w:r w:rsidRPr="00190C70">
        <w:rPr>
          <w:rFonts w:cs="Arial"/>
          <w:sz w:val="24"/>
          <w:szCs w:val="24"/>
          <w:lang w:val="es-ES"/>
        </w:rPr>
        <w:lastRenderedPageBreak/>
        <w:t>anterior y se entregará al contribuyente un recibo provisional.  El vencimiento de la obligación tributaria será el 31 de diciembre de cada año.</w:t>
      </w:r>
    </w:p>
    <w:p w:rsidR="00B21BA0" w:rsidRPr="00190C70" w:rsidRDefault="00B21BA0" w:rsidP="00D02704">
      <w:pPr>
        <w:jc w:val="both"/>
        <w:rPr>
          <w:rFonts w:cs="Arial"/>
          <w:sz w:val="24"/>
          <w:szCs w:val="24"/>
          <w:lang w:val="es-ES"/>
        </w:rPr>
      </w:pPr>
      <w:r w:rsidRPr="00190C70">
        <w:rPr>
          <w:rFonts w:cs="Arial"/>
          <w:sz w:val="24"/>
          <w:szCs w:val="24"/>
          <w:lang w:val="es-ES"/>
        </w:rPr>
        <w:t>Los pagos que se hagan desde  enero hasta junio inclusive, gozarán de las rebajas al impuesto principal, de conformidad con la escala siguiente:</w:t>
      </w:r>
    </w:p>
    <w:p w:rsidR="000340B1" w:rsidRPr="00190C70" w:rsidRDefault="00B21BA0" w:rsidP="000340B1">
      <w:pPr>
        <w:spacing w:after="0" w:line="240" w:lineRule="auto"/>
        <w:rPr>
          <w:rFonts w:cs="Arial"/>
          <w:sz w:val="24"/>
          <w:szCs w:val="24"/>
          <w:lang w:val="es-ES"/>
        </w:rPr>
      </w:pPr>
      <w:r w:rsidRPr="00190C70">
        <w:rPr>
          <w:rFonts w:cs="Arial"/>
          <w:b/>
          <w:sz w:val="24"/>
          <w:szCs w:val="24"/>
          <w:lang w:val="es-ES"/>
        </w:rPr>
        <w:t xml:space="preserve">            FECHA DE PAGO</w:t>
      </w:r>
      <w:r w:rsidRPr="00190C70">
        <w:rPr>
          <w:rFonts w:cs="Arial"/>
          <w:b/>
          <w:sz w:val="24"/>
          <w:szCs w:val="24"/>
          <w:lang w:val="es-ES"/>
        </w:rPr>
        <w:tab/>
      </w:r>
      <w:r w:rsidRPr="00190C70">
        <w:rPr>
          <w:rFonts w:cs="Arial"/>
          <w:b/>
          <w:sz w:val="24"/>
          <w:szCs w:val="24"/>
          <w:lang w:val="es-ES"/>
        </w:rPr>
        <w:tab/>
      </w:r>
      <w:r w:rsidRPr="00190C70">
        <w:rPr>
          <w:rFonts w:cs="Arial"/>
          <w:b/>
          <w:sz w:val="24"/>
          <w:szCs w:val="24"/>
          <w:lang w:val="es-ES"/>
        </w:rPr>
        <w:tab/>
        <w:t>PORCENTAJE DE DESCUENTO</w:t>
      </w:r>
      <w:r w:rsidRPr="00190C70">
        <w:rPr>
          <w:rFonts w:cs="Arial"/>
          <w:sz w:val="24"/>
          <w:szCs w:val="24"/>
          <w:lang w:val="es-ES"/>
        </w:rPr>
        <w:tab/>
      </w:r>
      <w:r w:rsidRPr="00190C70">
        <w:rPr>
          <w:rFonts w:cs="Arial"/>
          <w:sz w:val="24"/>
          <w:szCs w:val="24"/>
          <w:lang w:val="es-ES"/>
        </w:rPr>
        <w:tab/>
      </w:r>
    </w:p>
    <w:p w:rsidR="00B21BA0" w:rsidRPr="00190C70" w:rsidRDefault="000340B1" w:rsidP="000340B1">
      <w:pPr>
        <w:spacing w:after="0" w:line="240" w:lineRule="auto"/>
        <w:rPr>
          <w:rFonts w:cs="Arial"/>
          <w:sz w:val="24"/>
          <w:szCs w:val="24"/>
          <w:lang w:val="es-ES"/>
        </w:rPr>
      </w:pPr>
      <w:r w:rsidRPr="00190C70">
        <w:rPr>
          <w:rFonts w:cs="Arial"/>
          <w:sz w:val="24"/>
          <w:szCs w:val="24"/>
          <w:lang w:val="es-ES"/>
        </w:rPr>
        <w:t xml:space="preserve">            </w:t>
      </w:r>
      <w:r w:rsidR="00B21BA0" w:rsidRPr="00190C70">
        <w:rPr>
          <w:rFonts w:cs="Arial"/>
          <w:sz w:val="24"/>
          <w:szCs w:val="24"/>
          <w:lang w:val="es-ES"/>
        </w:rPr>
        <w:t xml:space="preserve">Del   </w:t>
      </w:r>
      <w:r w:rsidRPr="00190C70">
        <w:rPr>
          <w:rFonts w:cs="Arial"/>
          <w:sz w:val="24"/>
          <w:szCs w:val="24"/>
          <w:lang w:val="es-ES"/>
        </w:rPr>
        <w:t xml:space="preserve"> </w:t>
      </w:r>
      <w:r w:rsidR="00B21BA0" w:rsidRPr="00190C70">
        <w:rPr>
          <w:rFonts w:cs="Arial"/>
          <w:sz w:val="24"/>
          <w:szCs w:val="24"/>
          <w:lang w:val="es-ES"/>
        </w:rPr>
        <w:t xml:space="preserve">1   al  15  de enero  </w:t>
      </w:r>
      <w:r w:rsidR="00B21BA0" w:rsidRPr="00190C70">
        <w:rPr>
          <w:rFonts w:cs="Arial"/>
          <w:sz w:val="24"/>
          <w:szCs w:val="24"/>
          <w:lang w:val="es-ES"/>
        </w:rPr>
        <w:tab/>
      </w:r>
      <w:r w:rsidR="00B21BA0" w:rsidRPr="00190C70">
        <w:rPr>
          <w:rFonts w:cs="Arial"/>
          <w:sz w:val="24"/>
          <w:szCs w:val="24"/>
          <w:lang w:val="es-ES"/>
        </w:rPr>
        <w:tab/>
      </w:r>
      <w:r w:rsidR="00B21BA0" w:rsidRPr="00190C70">
        <w:rPr>
          <w:rFonts w:cs="Arial"/>
          <w:sz w:val="24"/>
          <w:szCs w:val="24"/>
          <w:lang w:val="es-ES"/>
        </w:rPr>
        <w:tab/>
        <w:t xml:space="preserve">             10%</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t>Del   16 al  31  de enero</w:t>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t xml:space="preserve">  9%</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t>Del   1   al  15  de febrero</w:t>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t xml:space="preserve">  8%</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t>Del   16 al  28  de febrero</w:t>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t xml:space="preserve">  7%</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t>Del   1   al  15  de marzo</w:t>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t xml:space="preserve">  6%</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t>Del   16 al  31  de marzo</w:t>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t xml:space="preserve">  5%</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t xml:space="preserve">Del   1   al  15  de abril </w:t>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t xml:space="preserve">  4%</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t>Del   16 al  30  de abril</w:t>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t xml:space="preserve">  3%</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t>Del   1   al  15  de mayo</w:t>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t xml:space="preserve">  3%</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t>Del   16 al  31  de mayo</w:t>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t xml:space="preserve">  2%</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t>Del   1   al  15  de junio</w:t>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t xml:space="preserve">  2%</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t>Del   16 al  30  de junio</w:t>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r>
      <w:r w:rsidRPr="00190C70">
        <w:rPr>
          <w:rFonts w:cs="Arial"/>
          <w:sz w:val="24"/>
          <w:szCs w:val="24"/>
          <w:lang w:val="es-ES"/>
        </w:rPr>
        <w:tab/>
        <w:t xml:space="preserve">  1%</w:t>
      </w:r>
    </w:p>
    <w:p w:rsidR="00B21BA0" w:rsidRPr="00190C70" w:rsidRDefault="00B21BA0" w:rsidP="00B21BA0">
      <w:pPr>
        <w:spacing w:after="0" w:line="240" w:lineRule="auto"/>
        <w:jc w:val="both"/>
        <w:rPr>
          <w:rFonts w:cs="Arial"/>
          <w:sz w:val="24"/>
          <w:szCs w:val="24"/>
          <w:lang w:val="es-ES"/>
        </w:rPr>
      </w:pPr>
      <w:r w:rsidRPr="00190C70">
        <w:rPr>
          <w:rFonts w:cs="Arial"/>
          <w:sz w:val="24"/>
          <w:szCs w:val="24"/>
          <w:lang w:val="es-ES"/>
        </w:rPr>
        <w:tab/>
      </w:r>
    </w:p>
    <w:p w:rsidR="00B21BA0" w:rsidRPr="00190C70" w:rsidRDefault="00B21BA0" w:rsidP="00D02704">
      <w:pPr>
        <w:spacing w:after="0"/>
        <w:jc w:val="both"/>
        <w:rPr>
          <w:rFonts w:cs="Arial"/>
          <w:sz w:val="24"/>
          <w:szCs w:val="24"/>
          <w:lang w:val="es-ES"/>
        </w:rPr>
      </w:pPr>
      <w:r w:rsidRPr="00190C70">
        <w:rPr>
          <w:rFonts w:cs="Arial"/>
          <w:sz w:val="24"/>
          <w:szCs w:val="24"/>
          <w:lang w:val="es-ES"/>
        </w:rPr>
        <w:t>De igual manera, los pagos que se hagan a partir del 1 de julio, soportarán el 10%  de recargo sobre el impuesto principal, de conformidad con el Código Orgánico de Organización Territorial Autonomía y Descentralización.</w:t>
      </w:r>
    </w:p>
    <w:p w:rsidR="00B21BA0" w:rsidRPr="00190C70" w:rsidRDefault="00B21BA0" w:rsidP="00D02704">
      <w:pPr>
        <w:jc w:val="both"/>
        <w:rPr>
          <w:rFonts w:cs="Arial"/>
          <w:sz w:val="24"/>
          <w:szCs w:val="24"/>
          <w:lang w:val="es-ES"/>
        </w:rPr>
      </w:pPr>
      <w:r w:rsidRPr="00190C70">
        <w:rPr>
          <w:rFonts w:cs="Arial"/>
          <w:sz w:val="24"/>
          <w:szCs w:val="24"/>
          <w:lang w:val="es-ES"/>
        </w:rPr>
        <w:t>Vencido el año fiscal, se recaudarán los impuestos e intereses correspondientes por  la mora mediante el procedimiento coactivo.</w:t>
      </w:r>
    </w:p>
    <w:p w:rsidR="00B21BA0" w:rsidRPr="00190C70" w:rsidRDefault="00B21BA0" w:rsidP="00B21BA0">
      <w:pPr>
        <w:jc w:val="both"/>
        <w:rPr>
          <w:rFonts w:cs="Arial"/>
          <w:b/>
          <w:iCs/>
          <w:sz w:val="24"/>
          <w:szCs w:val="24"/>
          <w:lang w:val="es-ES"/>
        </w:rPr>
      </w:pPr>
      <w:r w:rsidRPr="00190C70">
        <w:rPr>
          <w:rFonts w:cs="Arial"/>
          <w:b/>
          <w:iCs/>
          <w:sz w:val="24"/>
          <w:szCs w:val="24"/>
          <w:lang w:val="es-ES"/>
        </w:rPr>
        <w:t>Artículo 35.-  REBAJAS A LA CUANTIA O VALOR DEL TITULO</w:t>
      </w:r>
      <w:r w:rsidR="00CC3FA5">
        <w:rPr>
          <w:rFonts w:cs="Arial"/>
          <w:b/>
          <w:iCs/>
          <w:sz w:val="24"/>
          <w:szCs w:val="24"/>
          <w:lang w:val="es-ES"/>
        </w:rPr>
        <w:t>.-</w:t>
      </w:r>
    </w:p>
    <w:p w:rsidR="00B21BA0" w:rsidRPr="00190C70" w:rsidRDefault="00B21BA0" w:rsidP="00CC3FA5">
      <w:pPr>
        <w:pStyle w:val="Prrafodelista"/>
        <w:numPr>
          <w:ilvl w:val="0"/>
          <w:numId w:val="15"/>
        </w:numPr>
        <w:spacing w:after="0"/>
        <w:ind w:left="426"/>
        <w:jc w:val="both"/>
        <w:rPr>
          <w:rFonts w:cs="Arial"/>
          <w:sz w:val="24"/>
          <w:szCs w:val="24"/>
          <w:lang w:val="es-ES"/>
        </w:rPr>
      </w:pPr>
      <w:r w:rsidRPr="00190C70">
        <w:rPr>
          <w:rFonts w:cs="Arial"/>
          <w:sz w:val="24"/>
          <w:szCs w:val="24"/>
          <w:lang w:val="es-ES"/>
        </w:rPr>
        <w:t>LEY ORG</w:t>
      </w:r>
      <w:r w:rsidR="00642A63" w:rsidRPr="00190C70">
        <w:rPr>
          <w:rFonts w:cs="Arial"/>
          <w:sz w:val="24"/>
          <w:szCs w:val="24"/>
          <w:lang w:val="es-ES"/>
        </w:rPr>
        <w:t>A</w:t>
      </w:r>
      <w:r w:rsidRPr="00190C70">
        <w:rPr>
          <w:rFonts w:cs="Arial"/>
          <w:sz w:val="24"/>
          <w:szCs w:val="24"/>
          <w:lang w:val="es-ES"/>
        </w:rPr>
        <w:t>NICA DE DISCAPACIDADES Artículo 75.- Impuesto predial.- Las personas con discapacidad y/o las personas naturales y  jurídicas que tengan legalmente bajo su protección o cuidado a la persona con discapacidad, tendrán la exención del cincuenta por ciento (50%) del pago del impuesto predial. Esta exención se aplicará sobre un (1) solo inmueble con un avalúo máximo de quinientas (500) remuneraciones básicas unificadas del trabajador privado en general. En caso de superar este valor, se cancelará uno proporcional al excedente.</w:t>
      </w:r>
    </w:p>
    <w:p w:rsidR="00B21BA0" w:rsidRPr="00190C70" w:rsidRDefault="00B21BA0" w:rsidP="00B21BA0">
      <w:pPr>
        <w:spacing w:after="0" w:line="240" w:lineRule="auto"/>
        <w:rPr>
          <w:rFonts w:eastAsia="Times New Roman" w:cs="Arial"/>
          <w:sz w:val="24"/>
          <w:szCs w:val="24"/>
        </w:rPr>
      </w:pPr>
    </w:p>
    <w:p w:rsidR="00B21BA0" w:rsidRPr="00190C70" w:rsidRDefault="00B21BA0" w:rsidP="00CC3FA5">
      <w:pPr>
        <w:spacing w:after="0"/>
        <w:ind w:left="426"/>
        <w:jc w:val="both"/>
        <w:rPr>
          <w:rFonts w:cs="Arial"/>
          <w:sz w:val="24"/>
          <w:szCs w:val="24"/>
          <w:lang w:val="es-ES"/>
        </w:rPr>
      </w:pPr>
      <w:r w:rsidRPr="00190C70">
        <w:rPr>
          <w:rFonts w:cs="Arial"/>
          <w:noProof/>
          <w:sz w:val="24"/>
          <w:szCs w:val="24"/>
        </w:rPr>
        <w:t>Del artículo</w:t>
      </w:r>
      <w:r w:rsidRPr="00190C70">
        <w:rPr>
          <w:rFonts w:cs="Arial"/>
          <w:sz w:val="24"/>
          <w:szCs w:val="24"/>
          <w:lang w:val="es-ES"/>
        </w:rPr>
        <w:t xml:space="preserve"> 6.- Beneficios tributarios.- (…) El Reglamento a la Ley Orgánica de Discapacidades, </w:t>
      </w:r>
      <w:r w:rsidR="003100B1" w:rsidRPr="00190C70">
        <w:rPr>
          <w:rFonts w:cs="Arial"/>
          <w:sz w:val="24"/>
          <w:szCs w:val="24"/>
          <w:lang w:val="es-ES"/>
        </w:rPr>
        <w:t xml:space="preserve"> </w:t>
      </w:r>
      <w:r w:rsidRPr="00190C70">
        <w:rPr>
          <w:rFonts w:cs="Arial"/>
          <w:sz w:val="24"/>
          <w:szCs w:val="24"/>
          <w:lang w:val="es-ES"/>
        </w:rPr>
        <w:t>prevé que. “Los beneficios tributarios previstos en la Ley Orgánica de</w:t>
      </w:r>
      <w:r w:rsidR="003D7277" w:rsidRPr="00190C70">
        <w:rPr>
          <w:rFonts w:cs="Arial"/>
          <w:sz w:val="24"/>
          <w:szCs w:val="24"/>
          <w:lang w:val="es-ES"/>
        </w:rPr>
        <w:t xml:space="preserve"> </w:t>
      </w:r>
      <w:r w:rsidRPr="00190C70">
        <w:rPr>
          <w:rFonts w:cs="Arial"/>
          <w:sz w:val="24"/>
          <w:szCs w:val="24"/>
          <w:lang w:val="es-ES"/>
        </w:rPr>
        <w:t>Discapacidades, únicamente se aplicarán para aquellas personas cuya discapacidad sea igual o superior al cuarenta por ciento.</w:t>
      </w:r>
    </w:p>
    <w:p w:rsidR="00B21BA0" w:rsidRPr="00190C70" w:rsidRDefault="00B21BA0" w:rsidP="00955B43">
      <w:pPr>
        <w:spacing w:after="0" w:line="240" w:lineRule="auto"/>
        <w:ind w:left="426"/>
        <w:jc w:val="both"/>
        <w:rPr>
          <w:rFonts w:cs="Arial"/>
          <w:sz w:val="24"/>
          <w:szCs w:val="24"/>
          <w:lang w:val="es-ES"/>
        </w:rPr>
      </w:pPr>
    </w:p>
    <w:p w:rsidR="00B21BA0" w:rsidRPr="00190C70" w:rsidRDefault="00B21BA0" w:rsidP="00CC3FA5">
      <w:pPr>
        <w:spacing w:after="0"/>
        <w:ind w:left="426"/>
        <w:jc w:val="both"/>
        <w:rPr>
          <w:rFonts w:cs="Arial"/>
          <w:sz w:val="24"/>
          <w:szCs w:val="24"/>
          <w:lang w:val="es-ES"/>
        </w:rPr>
      </w:pPr>
      <w:r w:rsidRPr="00190C70">
        <w:rPr>
          <w:rFonts w:cs="Arial"/>
          <w:sz w:val="24"/>
          <w:szCs w:val="24"/>
          <w:lang w:val="es-ES"/>
        </w:rPr>
        <w:t>Los beneficios tributarios de exoneración del Impuesto a la Renta y devolución del Impuesto al Valor Agregado, así como aquellos a los que se refiere la Sección Octava del Capítulo Segundo del Título II de la Ley Orgánica de Discapacidades, se aplicarán de manera proporcional, de acuerdo al grado de discapacidad del beneficiario o de la persona a quien sustituye, según el caso, de conformidad con la siguiente tabla:</w:t>
      </w:r>
    </w:p>
    <w:p w:rsidR="00B21BA0" w:rsidRPr="00190C70" w:rsidRDefault="00B21BA0" w:rsidP="00B21BA0">
      <w:pPr>
        <w:spacing w:after="0" w:line="240" w:lineRule="auto"/>
        <w:jc w:val="both"/>
        <w:rPr>
          <w:rFonts w:cs="Arial"/>
          <w:sz w:val="24"/>
          <w:szCs w:val="24"/>
          <w:lang w:val="es-ES"/>
        </w:rPr>
      </w:pPr>
    </w:p>
    <w:p w:rsidR="00B21BA0" w:rsidRPr="00190C70" w:rsidRDefault="00B21BA0" w:rsidP="00B21BA0">
      <w:pPr>
        <w:jc w:val="center"/>
        <w:rPr>
          <w:rFonts w:cs="Arial"/>
          <w:sz w:val="24"/>
          <w:szCs w:val="24"/>
          <w:lang w:val="es-ES"/>
        </w:rPr>
      </w:pPr>
      <w:r w:rsidRPr="00190C70">
        <w:rPr>
          <w:rFonts w:cs="Arial"/>
          <w:noProof/>
          <w:sz w:val="24"/>
          <w:szCs w:val="24"/>
        </w:rPr>
        <w:drawing>
          <wp:inline distT="0" distB="0" distL="0" distR="0" wp14:anchorId="1BFE7983" wp14:editId="0C8865CB">
            <wp:extent cx="2289810" cy="1248410"/>
            <wp:effectExtent l="0" t="0" r="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9810" cy="1248410"/>
                    </a:xfrm>
                    <a:prstGeom prst="rect">
                      <a:avLst/>
                    </a:prstGeom>
                    <a:noFill/>
                    <a:ln>
                      <a:noFill/>
                    </a:ln>
                  </pic:spPr>
                </pic:pic>
              </a:graphicData>
            </a:graphic>
          </wp:inline>
        </w:drawing>
      </w:r>
    </w:p>
    <w:p w:rsidR="00B21BA0" w:rsidRPr="00190C70" w:rsidRDefault="00B21BA0" w:rsidP="00CC3FA5">
      <w:pPr>
        <w:pStyle w:val="Prrafodelista"/>
        <w:numPr>
          <w:ilvl w:val="0"/>
          <w:numId w:val="15"/>
        </w:numPr>
        <w:ind w:left="426"/>
        <w:jc w:val="both"/>
        <w:rPr>
          <w:rFonts w:cs="Arial"/>
          <w:sz w:val="24"/>
          <w:szCs w:val="24"/>
          <w:lang w:val="es-ES"/>
        </w:rPr>
      </w:pPr>
      <w:r w:rsidRPr="00190C70">
        <w:rPr>
          <w:rFonts w:cs="Arial"/>
          <w:sz w:val="24"/>
          <w:szCs w:val="24"/>
          <w:lang w:val="es-ES"/>
        </w:rPr>
        <w:t xml:space="preserve">En tanto que por desastres, en base al </w:t>
      </w:r>
      <w:r w:rsidRPr="00190C70">
        <w:rPr>
          <w:rFonts w:cs="Arial"/>
          <w:noProof/>
          <w:sz w:val="24"/>
          <w:szCs w:val="24"/>
        </w:rPr>
        <w:t>artículo</w:t>
      </w:r>
      <w:r w:rsidRPr="00190C70">
        <w:rPr>
          <w:rFonts w:cs="Arial"/>
          <w:sz w:val="24"/>
          <w:szCs w:val="24"/>
          <w:lang w:val="es-ES"/>
        </w:rPr>
        <w:t xml:space="preserve"> 521.- Deducciones: Señala que “Para establecer la parte del valor que constituye la materia imponible, el contribuyente tiene derecho a que se efectúen las siguientes deducciones respecto del valor de la propiedad: </w:t>
      </w:r>
    </w:p>
    <w:p w:rsidR="00B21BA0" w:rsidRPr="00190C70" w:rsidRDefault="00B21BA0" w:rsidP="00CC3FA5">
      <w:pPr>
        <w:ind w:left="426"/>
        <w:jc w:val="both"/>
        <w:rPr>
          <w:rFonts w:cs="Arial"/>
          <w:sz w:val="24"/>
          <w:szCs w:val="24"/>
          <w:lang w:val="es-ES"/>
        </w:rPr>
      </w:pPr>
      <w:r w:rsidRPr="00190C70">
        <w:rPr>
          <w:rFonts w:cs="Arial"/>
          <w:sz w:val="24"/>
          <w:szCs w:val="24"/>
          <w:lang w:val="es-ES"/>
        </w:rPr>
        <w:t>El numeral 2, del literal b.), prescribe: “Cuando por pestes, desastres naturales, calamidades u otras causas similares, sufriere un contribuyente la pérdida de más del veinte por ciento del valor de un predio o de sus cosechas, se efectuará la deducción correspondiente en el avalúo que ha de regir desde el año siguiente; el impuesto en el año que ocurra el siniestro, se rebajará proporcionalmente al tiempo y a la magnitud de la pérdida.</w:t>
      </w:r>
    </w:p>
    <w:p w:rsidR="00B21BA0" w:rsidRPr="00190C70" w:rsidRDefault="00B21BA0" w:rsidP="008F1811">
      <w:pPr>
        <w:ind w:left="426"/>
        <w:jc w:val="both"/>
        <w:rPr>
          <w:rFonts w:cs="Arial"/>
          <w:sz w:val="24"/>
          <w:szCs w:val="24"/>
          <w:lang w:val="es-ES"/>
        </w:rPr>
      </w:pPr>
      <w:r w:rsidRPr="00190C70">
        <w:rPr>
          <w:rFonts w:cs="Arial"/>
          <w:sz w:val="24"/>
          <w:szCs w:val="24"/>
          <w:lang w:val="es-ES"/>
        </w:rPr>
        <w:t xml:space="preserve">Cuando las causas previstas en el inciso anterior motivaren solamente disminución en el rendimiento del predio, en la magnitud indicada en dicho inciso, se procederá a una </w:t>
      </w:r>
      <w:r w:rsidRPr="00190C70">
        <w:rPr>
          <w:rFonts w:cs="Arial"/>
          <w:sz w:val="24"/>
          <w:szCs w:val="24"/>
          <w:lang w:val="es-ES"/>
        </w:rPr>
        <w:lastRenderedPageBreak/>
        <w:t>rebaja proporcionada en el año en el que se produjere la calamidad. Si los efectos se extendieren a más de un año, la rebaja se concederá por más de un año y en proporción razonable.</w:t>
      </w:r>
    </w:p>
    <w:p w:rsidR="00B21BA0" w:rsidRPr="00190C70" w:rsidRDefault="00B21BA0" w:rsidP="008F1811">
      <w:pPr>
        <w:ind w:left="426"/>
        <w:jc w:val="both"/>
        <w:rPr>
          <w:rFonts w:cs="Arial"/>
          <w:b/>
          <w:iCs/>
          <w:sz w:val="24"/>
          <w:szCs w:val="24"/>
        </w:rPr>
      </w:pPr>
      <w:r w:rsidRPr="00190C70">
        <w:rPr>
          <w:rFonts w:cs="Arial"/>
          <w:sz w:val="24"/>
          <w:szCs w:val="24"/>
          <w:lang w:val="es-ES"/>
        </w:rPr>
        <w:t>El derecho que conceden los numerales anteriores se podrá ejercer dentro del año siguiente a la situación que dio origen a la deducción. Para este efecto, se presentará solicitud documentada al jefe de la dirección financiera.”</w:t>
      </w:r>
    </w:p>
    <w:p w:rsidR="00B21BA0" w:rsidRPr="00190C70" w:rsidRDefault="00B21BA0" w:rsidP="008F1811">
      <w:pPr>
        <w:pStyle w:val="Prrafodelista"/>
        <w:numPr>
          <w:ilvl w:val="0"/>
          <w:numId w:val="15"/>
        </w:numPr>
        <w:spacing w:before="100" w:beforeAutospacing="1" w:after="100" w:afterAutospacing="1"/>
        <w:ind w:left="426"/>
        <w:jc w:val="both"/>
        <w:outlineLvl w:val="3"/>
        <w:rPr>
          <w:rFonts w:eastAsia="Times New Roman" w:cs="Arial"/>
          <w:bCs/>
          <w:sz w:val="24"/>
          <w:szCs w:val="24"/>
        </w:rPr>
      </w:pPr>
      <w:r w:rsidRPr="00190C70">
        <w:rPr>
          <w:rFonts w:eastAsia="Times New Roman" w:cs="Arial"/>
          <w:bCs/>
          <w:sz w:val="24"/>
          <w:szCs w:val="24"/>
        </w:rPr>
        <w:t xml:space="preserve">LEY ESPECIAL DEL ANCIANO </w:t>
      </w:r>
      <w:r w:rsidR="008F1811" w:rsidRPr="00190C70">
        <w:rPr>
          <w:rFonts w:eastAsia="Times New Roman" w:cs="Arial"/>
          <w:bCs/>
          <w:sz w:val="24"/>
          <w:szCs w:val="24"/>
        </w:rPr>
        <w:t>ARTÍCULO</w:t>
      </w:r>
      <w:r w:rsidRPr="00190C70">
        <w:rPr>
          <w:rFonts w:eastAsia="Times New Roman" w:cs="Arial"/>
          <w:bCs/>
          <w:sz w:val="24"/>
          <w:szCs w:val="24"/>
        </w:rPr>
        <w:t xml:space="preserve"> 14.- Exoneración de Impuestos.- Toda persona mayor de sesenta y cinco años de edad y con ingresos mensuales estimados de un máximo de cinco remuneraciones básicas unificadas o que tuviera un patrimonio que no exceda de quinientas remuneraciones básicas unificadas, estará exonerada del pago de toda clase de impuestos fiscales y municipales.</w:t>
      </w:r>
    </w:p>
    <w:p w:rsidR="00B21BA0" w:rsidRPr="00190C70" w:rsidRDefault="00B21BA0" w:rsidP="008F1811">
      <w:pPr>
        <w:spacing w:before="100" w:beforeAutospacing="1" w:after="100" w:afterAutospacing="1"/>
        <w:ind w:left="426"/>
        <w:jc w:val="both"/>
        <w:outlineLvl w:val="3"/>
        <w:rPr>
          <w:rFonts w:eastAsia="Times New Roman" w:cs="Arial"/>
          <w:bCs/>
          <w:sz w:val="24"/>
          <w:szCs w:val="24"/>
        </w:rPr>
      </w:pPr>
      <w:r w:rsidRPr="00190C70">
        <w:rPr>
          <w:rFonts w:eastAsia="Times New Roman" w:cs="Arial"/>
          <w:bCs/>
          <w:sz w:val="24"/>
          <w:szCs w:val="24"/>
        </w:rPr>
        <w:t>Para la aplicación de este beneficio no se requerirá de declaración administrativa previa, provincial o municipal.</w:t>
      </w:r>
    </w:p>
    <w:p w:rsidR="00B21BA0" w:rsidRPr="00190C70" w:rsidRDefault="00B21BA0" w:rsidP="008F1811">
      <w:pPr>
        <w:spacing w:before="100" w:beforeAutospacing="1" w:after="100" w:afterAutospacing="1"/>
        <w:ind w:left="426"/>
        <w:jc w:val="both"/>
        <w:outlineLvl w:val="3"/>
        <w:rPr>
          <w:rFonts w:eastAsia="Times New Roman" w:cs="Arial"/>
          <w:bCs/>
          <w:sz w:val="24"/>
          <w:szCs w:val="24"/>
        </w:rPr>
      </w:pPr>
      <w:r w:rsidRPr="00190C70">
        <w:rPr>
          <w:rFonts w:eastAsia="Times New Roman" w:cs="Arial"/>
          <w:bCs/>
          <w:sz w:val="24"/>
          <w:szCs w:val="24"/>
        </w:rPr>
        <w:t>Si la renta o patrimonio excede de las cantidades determinadas en el inciso primero, los impuestos se pagarán únicamente por la diferencia o excedente.</w:t>
      </w:r>
    </w:p>
    <w:p w:rsidR="00B21BA0" w:rsidRPr="00190C70" w:rsidRDefault="00B21BA0" w:rsidP="00B21BA0">
      <w:pPr>
        <w:jc w:val="center"/>
        <w:rPr>
          <w:rFonts w:cs="Arial"/>
          <w:b/>
          <w:iCs/>
          <w:sz w:val="24"/>
          <w:szCs w:val="24"/>
          <w:lang w:val="es-ES"/>
        </w:rPr>
      </w:pPr>
      <w:r w:rsidRPr="00190C70">
        <w:rPr>
          <w:rFonts w:cs="Arial"/>
          <w:b/>
          <w:iCs/>
          <w:sz w:val="24"/>
          <w:szCs w:val="24"/>
          <w:lang w:val="es-ES"/>
        </w:rPr>
        <w:t>CAPÍTULO V</w:t>
      </w:r>
    </w:p>
    <w:p w:rsidR="00B21BA0" w:rsidRPr="00190C70" w:rsidRDefault="00B21BA0" w:rsidP="00B21BA0">
      <w:pPr>
        <w:jc w:val="center"/>
        <w:rPr>
          <w:rFonts w:cs="Arial"/>
          <w:b/>
          <w:iCs/>
          <w:sz w:val="24"/>
          <w:szCs w:val="24"/>
          <w:lang w:val="es-ES"/>
        </w:rPr>
      </w:pPr>
      <w:r w:rsidRPr="00190C70">
        <w:rPr>
          <w:rFonts w:cs="Arial"/>
          <w:b/>
          <w:iCs/>
          <w:sz w:val="24"/>
          <w:szCs w:val="24"/>
          <w:lang w:val="es-ES"/>
        </w:rPr>
        <w:t>IMPUESTO A LA PROPIEDAD RURAL</w:t>
      </w:r>
    </w:p>
    <w:p w:rsidR="00B21BA0" w:rsidRPr="00190C70" w:rsidRDefault="00B21BA0" w:rsidP="008F1811">
      <w:pPr>
        <w:jc w:val="both"/>
        <w:rPr>
          <w:rFonts w:cs="Arial"/>
          <w:iCs/>
          <w:sz w:val="24"/>
          <w:szCs w:val="24"/>
          <w:lang w:val="es-ES"/>
        </w:rPr>
      </w:pPr>
      <w:r w:rsidRPr="00190C70">
        <w:rPr>
          <w:rFonts w:cs="Arial"/>
          <w:b/>
          <w:iCs/>
          <w:sz w:val="24"/>
          <w:szCs w:val="24"/>
          <w:lang w:val="es-ES"/>
        </w:rPr>
        <w:t>Artículo 36.- OBJETO DEL IMPUESTO.-</w:t>
      </w:r>
      <w:r w:rsidRPr="00190C70">
        <w:rPr>
          <w:rFonts w:cs="Arial"/>
          <w:iCs/>
          <w:sz w:val="24"/>
          <w:szCs w:val="24"/>
          <w:lang w:val="es-ES"/>
        </w:rPr>
        <w:t xml:space="preserve"> Son objeto del impuesto a la propiedad Rural, todos los predios ubicados dentro de los límites del Cantón excepto las zonas urbanas de la cabecera cantonal y de las demás zonas urbanas del Cantón </w:t>
      </w:r>
      <w:r w:rsidR="003100B1" w:rsidRPr="00190C70">
        <w:rPr>
          <w:rFonts w:cs="Arial"/>
          <w:iCs/>
          <w:sz w:val="24"/>
          <w:szCs w:val="24"/>
          <w:lang w:val="es-ES"/>
        </w:rPr>
        <w:t xml:space="preserve">Guaranda </w:t>
      </w:r>
      <w:r w:rsidRPr="00190C70">
        <w:rPr>
          <w:rFonts w:cs="Arial"/>
          <w:iCs/>
          <w:sz w:val="24"/>
          <w:szCs w:val="24"/>
          <w:lang w:val="es-ES"/>
        </w:rPr>
        <w:t>determinadas de conformidad con la Ley.</w:t>
      </w:r>
    </w:p>
    <w:p w:rsidR="00B21BA0" w:rsidRDefault="00B21BA0" w:rsidP="008F1811">
      <w:pPr>
        <w:jc w:val="both"/>
        <w:rPr>
          <w:rFonts w:cs="Arial"/>
          <w:iCs/>
          <w:sz w:val="24"/>
          <w:szCs w:val="24"/>
          <w:lang w:val="es-ES"/>
        </w:rPr>
      </w:pPr>
      <w:r w:rsidRPr="00190C70">
        <w:rPr>
          <w:rFonts w:cs="Arial"/>
          <w:b/>
          <w:iCs/>
          <w:sz w:val="24"/>
          <w:szCs w:val="24"/>
          <w:lang w:val="es-ES"/>
        </w:rPr>
        <w:t>Artículo 37.- IMPUESTOS QUE GRAVAN A LA PROPIEDAD RURAL.-</w:t>
      </w:r>
      <w:r w:rsidRPr="00190C70">
        <w:rPr>
          <w:rFonts w:cs="Arial"/>
          <w:iCs/>
          <w:sz w:val="24"/>
          <w:szCs w:val="24"/>
          <w:lang w:val="es-ES"/>
        </w:rPr>
        <w:t xml:space="preserve"> Los predios rurales están gravados por los siguientes impuestos establecidos en el </w:t>
      </w:r>
      <w:r w:rsidRPr="00190C70">
        <w:rPr>
          <w:rFonts w:cs="Arial"/>
          <w:sz w:val="24"/>
          <w:szCs w:val="24"/>
          <w:lang w:val="es-ES"/>
        </w:rPr>
        <w:t>Código Orgánico de Organización Territorial Autonomía y Descentralización</w:t>
      </w:r>
      <w:r w:rsidRPr="00190C70">
        <w:rPr>
          <w:rFonts w:cs="Arial"/>
          <w:iCs/>
          <w:sz w:val="24"/>
          <w:szCs w:val="24"/>
          <w:lang w:val="es-ES"/>
        </w:rPr>
        <w:t>;</w:t>
      </w:r>
    </w:p>
    <w:p w:rsidR="008F1811" w:rsidRPr="00190C70" w:rsidRDefault="008F1811" w:rsidP="008F1811">
      <w:pPr>
        <w:jc w:val="both"/>
        <w:rPr>
          <w:rFonts w:cs="Arial"/>
          <w:iCs/>
          <w:sz w:val="24"/>
          <w:szCs w:val="24"/>
          <w:lang w:val="es-ES"/>
        </w:rPr>
      </w:pPr>
    </w:p>
    <w:p w:rsidR="00B21BA0" w:rsidRPr="00190C70" w:rsidRDefault="00B21BA0" w:rsidP="008F1811">
      <w:pPr>
        <w:pStyle w:val="Prrafodelista"/>
        <w:numPr>
          <w:ilvl w:val="0"/>
          <w:numId w:val="16"/>
        </w:numPr>
        <w:spacing w:after="0"/>
        <w:ind w:left="426"/>
        <w:jc w:val="both"/>
        <w:rPr>
          <w:rFonts w:cs="Arial"/>
          <w:iCs/>
          <w:sz w:val="24"/>
          <w:szCs w:val="24"/>
          <w:lang w:val="es-ES"/>
        </w:rPr>
      </w:pPr>
      <w:r w:rsidRPr="00190C70">
        <w:rPr>
          <w:rFonts w:cs="Arial"/>
          <w:iCs/>
          <w:sz w:val="24"/>
          <w:szCs w:val="24"/>
          <w:lang w:val="es-ES"/>
        </w:rPr>
        <w:lastRenderedPageBreak/>
        <w:t>El impuesto a la propiedad rural.</w:t>
      </w:r>
    </w:p>
    <w:p w:rsidR="00B21BA0" w:rsidRPr="00190C70" w:rsidRDefault="00B21BA0" w:rsidP="008F1811">
      <w:pPr>
        <w:pStyle w:val="Prrafodelista"/>
        <w:numPr>
          <w:ilvl w:val="0"/>
          <w:numId w:val="16"/>
        </w:numPr>
        <w:spacing w:after="0"/>
        <w:ind w:left="426"/>
        <w:jc w:val="both"/>
        <w:rPr>
          <w:rFonts w:cs="Arial"/>
          <w:iCs/>
          <w:sz w:val="24"/>
          <w:szCs w:val="24"/>
          <w:lang w:val="es-ES"/>
        </w:rPr>
      </w:pPr>
      <w:r w:rsidRPr="00190C70">
        <w:rPr>
          <w:rFonts w:cs="Arial"/>
          <w:iCs/>
          <w:sz w:val="24"/>
          <w:szCs w:val="24"/>
          <w:lang w:val="es-ES"/>
        </w:rPr>
        <w:t>Impuesto adicional al Cuerpo de Bomberos</w:t>
      </w:r>
      <w:r w:rsidR="008F15AC" w:rsidRPr="00190C70">
        <w:rPr>
          <w:rFonts w:cs="Arial"/>
          <w:iCs/>
          <w:sz w:val="24"/>
          <w:szCs w:val="24"/>
          <w:lang w:val="es-ES"/>
        </w:rPr>
        <w:t>.</w:t>
      </w:r>
    </w:p>
    <w:p w:rsidR="00B21BA0" w:rsidRPr="00190C70" w:rsidRDefault="00B21BA0" w:rsidP="00B21BA0">
      <w:pPr>
        <w:spacing w:after="0"/>
        <w:jc w:val="both"/>
        <w:rPr>
          <w:rFonts w:cs="Arial"/>
          <w:iCs/>
          <w:sz w:val="24"/>
          <w:szCs w:val="24"/>
          <w:lang w:val="es-ES"/>
        </w:rPr>
      </w:pPr>
      <w:r w:rsidRPr="00190C70">
        <w:rPr>
          <w:rFonts w:cs="Arial"/>
          <w:sz w:val="24"/>
          <w:szCs w:val="24"/>
          <w:lang w:val="es-ES"/>
        </w:rPr>
        <w:tab/>
      </w:r>
    </w:p>
    <w:p w:rsidR="00B21BA0" w:rsidRPr="00190C70" w:rsidRDefault="00B21BA0" w:rsidP="008F1811">
      <w:pPr>
        <w:jc w:val="both"/>
        <w:rPr>
          <w:rFonts w:cs="Arial"/>
          <w:iCs/>
          <w:sz w:val="24"/>
          <w:szCs w:val="24"/>
          <w:lang w:val="es-ES"/>
        </w:rPr>
      </w:pPr>
      <w:r w:rsidRPr="00190C70">
        <w:rPr>
          <w:rFonts w:cs="Arial"/>
          <w:b/>
          <w:iCs/>
          <w:sz w:val="24"/>
          <w:szCs w:val="24"/>
          <w:lang w:val="es-ES"/>
        </w:rPr>
        <w:t>Artículo 38.- SUJETOS PASIVOS.-</w:t>
      </w:r>
      <w:r w:rsidRPr="00190C70">
        <w:rPr>
          <w:rFonts w:cs="Arial"/>
          <w:iCs/>
          <w:sz w:val="24"/>
          <w:szCs w:val="24"/>
          <w:lang w:val="es-ES"/>
        </w:rPr>
        <w:t xml:space="preserve"> Son sujetos pasivos del impuesto a los predios rurales, los propietarios o poseedores de los predios situados fuera de los límites de las zonas urbanas.</w:t>
      </w:r>
    </w:p>
    <w:p w:rsidR="00B21BA0" w:rsidRPr="00190C70" w:rsidRDefault="00B21BA0" w:rsidP="008F1811">
      <w:pPr>
        <w:jc w:val="both"/>
        <w:rPr>
          <w:rFonts w:cs="Arial"/>
          <w:iCs/>
          <w:sz w:val="24"/>
          <w:szCs w:val="24"/>
          <w:lang w:val="es-ES"/>
        </w:rPr>
      </w:pPr>
      <w:r w:rsidRPr="00190C70">
        <w:rPr>
          <w:rFonts w:cs="Arial"/>
          <w:b/>
          <w:iCs/>
          <w:sz w:val="24"/>
          <w:szCs w:val="24"/>
          <w:lang w:val="es-ES"/>
        </w:rPr>
        <w:t>Artículo 39.- EXISTENCIA DEL HECHO GENERADOR.-</w:t>
      </w:r>
      <w:r w:rsidRPr="00190C70">
        <w:rPr>
          <w:rFonts w:cs="Arial"/>
          <w:iCs/>
          <w:sz w:val="24"/>
          <w:szCs w:val="24"/>
          <w:lang w:val="es-ES"/>
        </w:rPr>
        <w:t xml:space="preserve">  El catastro registrará los elementos cualitativos y cuantitativos que establecen la existencia del Hecho Generador, los cuales estructuran el contenido de la información predial, en el formulario de declaración  o ficha predial con los siguientes indicadores generales:</w:t>
      </w:r>
    </w:p>
    <w:p w:rsidR="00B21BA0" w:rsidRPr="00190C70" w:rsidRDefault="00B21BA0" w:rsidP="00B818C6">
      <w:pPr>
        <w:spacing w:after="0"/>
        <w:jc w:val="both"/>
        <w:rPr>
          <w:rFonts w:cs="Arial"/>
          <w:iCs/>
          <w:sz w:val="24"/>
          <w:szCs w:val="24"/>
          <w:lang w:val="es-ES"/>
        </w:rPr>
      </w:pPr>
      <w:r w:rsidRPr="00190C70">
        <w:rPr>
          <w:rFonts w:cs="Arial"/>
          <w:iCs/>
          <w:sz w:val="24"/>
          <w:szCs w:val="24"/>
          <w:lang w:val="es-ES"/>
        </w:rPr>
        <w:t>01.-) Identificación predial</w:t>
      </w:r>
    </w:p>
    <w:p w:rsidR="00B21BA0" w:rsidRPr="00190C70" w:rsidRDefault="00B21BA0" w:rsidP="00B818C6">
      <w:pPr>
        <w:spacing w:after="0"/>
        <w:jc w:val="both"/>
        <w:rPr>
          <w:rFonts w:cs="Arial"/>
          <w:iCs/>
          <w:sz w:val="24"/>
          <w:szCs w:val="24"/>
          <w:lang w:val="es-ES"/>
        </w:rPr>
      </w:pPr>
      <w:r w:rsidRPr="00190C70">
        <w:rPr>
          <w:rFonts w:cs="Arial"/>
          <w:iCs/>
          <w:sz w:val="24"/>
          <w:szCs w:val="24"/>
          <w:lang w:val="es-ES"/>
        </w:rPr>
        <w:t>02.-) Tenencia</w:t>
      </w:r>
    </w:p>
    <w:p w:rsidR="00B21BA0" w:rsidRPr="00190C70" w:rsidRDefault="00B21BA0" w:rsidP="00B818C6">
      <w:pPr>
        <w:spacing w:after="0"/>
        <w:jc w:val="both"/>
        <w:rPr>
          <w:rFonts w:cs="Arial"/>
          <w:iCs/>
          <w:sz w:val="24"/>
          <w:szCs w:val="24"/>
          <w:lang w:val="es-ES"/>
        </w:rPr>
      </w:pPr>
      <w:r w:rsidRPr="00190C70">
        <w:rPr>
          <w:rFonts w:cs="Arial"/>
          <w:iCs/>
          <w:sz w:val="24"/>
          <w:szCs w:val="24"/>
          <w:lang w:val="es-ES"/>
        </w:rPr>
        <w:t>03.-) Descripción del terreno</w:t>
      </w:r>
    </w:p>
    <w:p w:rsidR="00B21BA0" w:rsidRPr="00190C70" w:rsidRDefault="00B21BA0" w:rsidP="00B818C6">
      <w:pPr>
        <w:spacing w:after="0"/>
        <w:jc w:val="both"/>
        <w:rPr>
          <w:rFonts w:cs="Arial"/>
          <w:iCs/>
          <w:sz w:val="24"/>
          <w:szCs w:val="24"/>
          <w:lang w:val="es-ES"/>
        </w:rPr>
      </w:pPr>
      <w:r w:rsidRPr="00190C70">
        <w:rPr>
          <w:rFonts w:cs="Arial"/>
          <w:iCs/>
          <w:sz w:val="24"/>
          <w:szCs w:val="24"/>
          <w:lang w:val="es-ES"/>
        </w:rPr>
        <w:t>04.-) Infraestructura y servicios</w:t>
      </w:r>
    </w:p>
    <w:p w:rsidR="00B21BA0" w:rsidRPr="00190C70" w:rsidRDefault="00B21BA0" w:rsidP="00B818C6">
      <w:pPr>
        <w:spacing w:after="0"/>
        <w:jc w:val="both"/>
        <w:rPr>
          <w:rFonts w:cs="Arial"/>
          <w:iCs/>
          <w:sz w:val="24"/>
          <w:szCs w:val="24"/>
          <w:lang w:val="es-ES"/>
        </w:rPr>
      </w:pPr>
      <w:r w:rsidRPr="00190C70">
        <w:rPr>
          <w:rFonts w:cs="Arial"/>
          <w:iCs/>
          <w:sz w:val="24"/>
          <w:szCs w:val="24"/>
          <w:lang w:val="es-ES"/>
        </w:rPr>
        <w:t>05.-) Uso y calidad del suelo</w:t>
      </w:r>
    </w:p>
    <w:p w:rsidR="00B21BA0" w:rsidRPr="00190C70" w:rsidRDefault="00B21BA0" w:rsidP="00B818C6">
      <w:pPr>
        <w:spacing w:after="0"/>
        <w:jc w:val="both"/>
        <w:rPr>
          <w:rFonts w:cs="Arial"/>
          <w:iCs/>
          <w:sz w:val="24"/>
          <w:szCs w:val="24"/>
          <w:lang w:val="es-ES"/>
        </w:rPr>
      </w:pPr>
      <w:r w:rsidRPr="00190C70">
        <w:rPr>
          <w:rFonts w:cs="Arial"/>
          <w:iCs/>
          <w:sz w:val="24"/>
          <w:szCs w:val="24"/>
          <w:lang w:val="es-ES"/>
        </w:rPr>
        <w:t>06.-) Descripción de las edificaciones</w:t>
      </w:r>
    </w:p>
    <w:p w:rsidR="00B21BA0" w:rsidRPr="00190C70" w:rsidRDefault="00B21BA0" w:rsidP="00B818C6">
      <w:pPr>
        <w:spacing w:after="0"/>
        <w:jc w:val="both"/>
        <w:rPr>
          <w:rFonts w:cs="Arial"/>
          <w:iCs/>
          <w:sz w:val="24"/>
          <w:szCs w:val="24"/>
          <w:lang w:val="es-ES"/>
        </w:rPr>
      </w:pPr>
      <w:r w:rsidRPr="00190C70">
        <w:rPr>
          <w:rFonts w:cs="Arial"/>
          <w:iCs/>
          <w:sz w:val="24"/>
          <w:szCs w:val="24"/>
          <w:lang w:val="es-ES"/>
        </w:rPr>
        <w:t>07.-) Gastos e Inversiones</w:t>
      </w:r>
    </w:p>
    <w:p w:rsidR="008F15AC" w:rsidRPr="00190C70" w:rsidRDefault="008F15AC" w:rsidP="00B21BA0">
      <w:pPr>
        <w:spacing w:after="0"/>
        <w:jc w:val="both"/>
        <w:rPr>
          <w:rFonts w:cs="Arial"/>
          <w:iCs/>
          <w:sz w:val="24"/>
          <w:szCs w:val="24"/>
          <w:lang w:val="es-ES"/>
        </w:rPr>
      </w:pPr>
    </w:p>
    <w:p w:rsidR="00B21BA0" w:rsidRDefault="00B21BA0" w:rsidP="008F1811">
      <w:pPr>
        <w:pStyle w:val="Sangradetextonormal"/>
        <w:ind w:left="0"/>
        <w:jc w:val="both"/>
        <w:rPr>
          <w:rFonts w:eastAsia="Calibri" w:cs="Arial"/>
          <w:iCs/>
          <w:sz w:val="24"/>
          <w:szCs w:val="24"/>
          <w:lang w:val="es-ES"/>
        </w:rPr>
      </w:pPr>
      <w:r w:rsidRPr="00190C70">
        <w:rPr>
          <w:rFonts w:cs="Arial"/>
          <w:b/>
          <w:iCs/>
          <w:sz w:val="24"/>
          <w:szCs w:val="24"/>
          <w:lang w:val="es-ES"/>
        </w:rPr>
        <w:t>Artículo</w:t>
      </w:r>
      <w:r w:rsidRPr="00190C70">
        <w:rPr>
          <w:rFonts w:eastAsia="Calibri" w:cs="Arial"/>
          <w:b/>
          <w:iCs/>
          <w:sz w:val="24"/>
          <w:szCs w:val="24"/>
          <w:lang w:val="es-ES"/>
        </w:rPr>
        <w:t xml:space="preserve"> 40.- VALOR DE LA PROPIEDAD.-</w:t>
      </w:r>
      <w:r w:rsidRPr="00190C70">
        <w:rPr>
          <w:rFonts w:eastAsia="Calibri" w:cs="Arial"/>
          <w:iCs/>
          <w:sz w:val="24"/>
          <w:szCs w:val="24"/>
          <w:lang w:val="es-ES"/>
        </w:rPr>
        <w:t xml:space="preserve">  Los predios rurales serán valorados mediante la aplicación de los elementos de valor del suelo, valor de las edificaciones y valor de reposición previstos en este Código; con este propósito, el Concejo aprobará, mediante ordenanza, el plano del valor de la tierra, los factores de aumento o reducción del valor del terreno por aspectos geométricos, topográficos, accesibilidad al riego, accesos y vías de comunicación, calidad del suelo, agua potable, alcantarillado y otros elementos semejantes, así como los factores para la valoración de las edificaciones. La información, componentes, valores y parámetros técnicos, serán particulares de cada localidad y que se describen a continuación: </w:t>
      </w:r>
    </w:p>
    <w:p w:rsidR="00B818C6" w:rsidRDefault="00B818C6" w:rsidP="008F1811">
      <w:pPr>
        <w:pStyle w:val="Sangradetextonormal"/>
        <w:ind w:left="0"/>
        <w:jc w:val="both"/>
        <w:rPr>
          <w:rFonts w:eastAsia="Calibri" w:cs="Arial"/>
          <w:iCs/>
          <w:sz w:val="24"/>
          <w:szCs w:val="24"/>
          <w:lang w:val="es-ES"/>
        </w:rPr>
      </w:pPr>
    </w:p>
    <w:p w:rsidR="00B818C6" w:rsidRDefault="00B818C6" w:rsidP="008F1811">
      <w:pPr>
        <w:pStyle w:val="Sangradetextonormal"/>
        <w:ind w:left="0"/>
        <w:jc w:val="both"/>
        <w:rPr>
          <w:rFonts w:eastAsia="Calibri" w:cs="Arial"/>
          <w:iCs/>
          <w:sz w:val="24"/>
          <w:szCs w:val="24"/>
          <w:lang w:val="es-ES"/>
        </w:rPr>
      </w:pPr>
    </w:p>
    <w:p w:rsidR="00B818C6" w:rsidRPr="00190C70" w:rsidRDefault="00B818C6" w:rsidP="008F1811">
      <w:pPr>
        <w:pStyle w:val="Sangradetextonormal"/>
        <w:ind w:left="0"/>
        <w:jc w:val="both"/>
        <w:rPr>
          <w:rFonts w:eastAsia="Calibri" w:cs="Arial"/>
          <w:iCs/>
          <w:sz w:val="24"/>
          <w:szCs w:val="24"/>
          <w:lang w:val="es-ES"/>
        </w:rPr>
      </w:pPr>
    </w:p>
    <w:p w:rsidR="00B21BA0" w:rsidRPr="00190C70" w:rsidRDefault="00B21BA0" w:rsidP="00B21BA0">
      <w:pPr>
        <w:jc w:val="both"/>
        <w:rPr>
          <w:rFonts w:cs="Arial"/>
          <w:b/>
          <w:iCs/>
          <w:sz w:val="24"/>
          <w:szCs w:val="24"/>
          <w:lang w:val="es-ES"/>
        </w:rPr>
      </w:pPr>
      <w:r w:rsidRPr="00190C70">
        <w:rPr>
          <w:rFonts w:cs="Arial"/>
          <w:b/>
          <w:iCs/>
          <w:sz w:val="24"/>
          <w:szCs w:val="24"/>
          <w:lang w:val="es-ES"/>
        </w:rPr>
        <w:lastRenderedPageBreak/>
        <w:t>a.-) Valor de terrenos</w:t>
      </w:r>
      <w:r w:rsidR="00580015">
        <w:rPr>
          <w:rFonts w:cs="Arial"/>
          <w:b/>
          <w:iCs/>
          <w:sz w:val="24"/>
          <w:szCs w:val="24"/>
          <w:lang w:val="es-ES"/>
        </w:rPr>
        <w:t>.-</w:t>
      </w:r>
    </w:p>
    <w:p w:rsidR="00B21BA0" w:rsidRPr="00190C70" w:rsidRDefault="00B21BA0" w:rsidP="00B21BA0">
      <w:pPr>
        <w:jc w:val="both"/>
        <w:rPr>
          <w:rFonts w:cs="Arial"/>
          <w:b/>
          <w:iCs/>
          <w:sz w:val="24"/>
          <w:szCs w:val="24"/>
          <w:lang w:val="es-ES"/>
        </w:rPr>
      </w:pPr>
      <w:r w:rsidRPr="00190C70">
        <w:rPr>
          <w:rFonts w:cs="Arial"/>
          <w:b/>
          <w:iCs/>
          <w:sz w:val="24"/>
          <w:szCs w:val="24"/>
          <w:lang w:val="es-ES"/>
        </w:rPr>
        <w:t>Sectores homogéneos:</w:t>
      </w:r>
    </w:p>
    <w:p w:rsidR="008957CE" w:rsidRPr="00190C70" w:rsidRDefault="00B21BA0" w:rsidP="00580015">
      <w:pPr>
        <w:pStyle w:val="Sangradetextonormal"/>
        <w:ind w:left="0"/>
        <w:jc w:val="both"/>
        <w:rPr>
          <w:rFonts w:eastAsia="Calibri" w:cs="Arial"/>
          <w:iCs/>
          <w:sz w:val="24"/>
          <w:szCs w:val="24"/>
          <w:lang w:val="es-ES"/>
        </w:rPr>
      </w:pPr>
      <w:r w:rsidRPr="00190C70">
        <w:rPr>
          <w:rFonts w:eastAsia="Calibri" w:cs="Arial"/>
          <w:iCs/>
          <w:sz w:val="24"/>
          <w:szCs w:val="24"/>
          <w:lang w:val="es-ES"/>
        </w:rPr>
        <w:t>Se establece sobre la información de carácter cualitativo de la infraestructura básica, de la infraestructura complementaria, comunicación, transporte y servicios municipales, información que cuantificada, mediante procedimientos estadísticos, permite definir la estructura del territorio rural y establecer sectores territoriales debidamente jerarquizados.</w:t>
      </w:r>
    </w:p>
    <w:p w:rsidR="003D7277" w:rsidRDefault="00B21BA0" w:rsidP="00B21BA0">
      <w:pPr>
        <w:pStyle w:val="Sangradetextonormal"/>
        <w:ind w:left="0"/>
        <w:jc w:val="both"/>
        <w:rPr>
          <w:rFonts w:cs="Arial"/>
          <w:sz w:val="24"/>
          <w:szCs w:val="24"/>
        </w:rPr>
      </w:pPr>
      <w:r w:rsidRPr="00190C70">
        <w:rPr>
          <w:rFonts w:eastAsia="Calibri" w:cs="Arial"/>
          <w:iCs/>
          <w:sz w:val="24"/>
          <w:szCs w:val="24"/>
          <w:lang w:val="es-ES"/>
        </w:rPr>
        <w:t xml:space="preserve"> Además se considera el análisis de las características del uso actual, uso potencial del suelo, la calidad del suelo deducida mediante análisis de laboratorio sobre textura de la capa arable, nivel de fertilidad, </w:t>
      </w:r>
      <w:proofErr w:type="spellStart"/>
      <w:r w:rsidRPr="00190C70">
        <w:rPr>
          <w:rFonts w:eastAsia="Calibri" w:cs="Arial"/>
          <w:iCs/>
          <w:sz w:val="24"/>
          <w:szCs w:val="24"/>
          <w:lang w:val="es-ES"/>
        </w:rPr>
        <w:t>Ph</w:t>
      </w:r>
      <w:proofErr w:type="spellEnd"/>
      <w:r w:rsidRPr="00190C70">
        <w:rPr>
          <w:rFonts w:eastAsia="Calibri" w:cs="Arial"/>
          <w:iCs/>
          <w:sz w:val="24"/>
          <w:szCs w:val="24"/>
          <w:lang w:val="es-ES"/>
        </w:rPr>
        <w:t>, salinidad, capacidad de intercambio catiónico, y contenido de materia orgánica, y además profundidad efectiva del perfil, apreciación textural del suelo, drenaje, relieve, erosión, índice climático y exposición solar, resultados con los que se establece la clasificación agrológica de tierras, que relacionado con la estructura territorial jerarquizada, se definen los sectores homogéneos de cada una de las áreas rurales del cantón.</w:t>
      </w:r>
      <w:r w:rsidRPr="00190C70">
        <w:rPr>
          <w:rFonts w:cs="Arial"/>
          <w:sz w:val="24"/>
          <w:szCs w:val="24"/>
        </w:rPr>
        <w:t xml:space="preserve"> </w:t>
      </w:r>
    </w:p>
    <w:p w:rsidR="00580015" w:rsidRDefault="00580015" w:rsidP="00B21BA0">
      <w:pPr>
        <w:pStyle w:val="Sangradetextonormal"/>
        <w:ind w:left="0"/>
        <w:jc w:val="both"/>
        <w:rPr>
          <w:rFonts w:cs="Arial"/>
          <w:sz w:val="24"/>
          <w:szCs w:val="24"/>
        </w:rPr>
      </w:pPr>
    </w:p>
    <w:p w:rsidR="00580015" w:rsidRPr="00190C70" w:rsidRDefault="00580015" w:rsidP="00B21BA0">
      <w:pPr>
        <w:pStyle w:val="Sangradetextonormal"/>
        <w:ind w:left="0"/>
        <w:jc w:val="both"/>
        <w:rPr>
          <w:rFonts w:cs="Arial"/>
          <w:sz w:val="24"/>
          <w:szCs w:val="24"/>
        </w:rPr>
      </w:pPr>
    </w:p>
    <w:p w:rsidR="00B21BA0" w:rsidRDefault="00B21BA0" w:rsidP="00B21BA0">
      <w:pPr>
        <w:jc w:val="center"/>
        <w:rPr>
          <w:rFonts w:cs="Arial"/>
          <w:b/>
          <w:bCs/>
          <w:sz w:val="24"/>
          <w:szCs w:val="24"/>
        </w:rPr>
      </w:pPr>
      <w:r w:rsidRPr="00190C70">
        <w:rPr>
          <w:rFonts w:cs="Arial"/>
          <w:b/>
          <w:bCs/>
          <w:sz w:val="24"/>
          <w:szCs w:val="24"/>
        </w:rPr>
        <w:t>SECTORES HOMOGÉNEOS DEL ÁREA RURAL DE GUARANDA</w:t>
      </w:r>
    </w:p>
    <w:p w:rsidR="00580015" w:rsidRPr="00190C70" w:rsidRDefault="00580015" w:rsidP="00B21BA0">
      <w:pPr>
        <w:jc w:val="center"/>
        <w:rPr>
          <w:rFonts w:cs="Arial"/>
          <w:b/>
          <w:bCs/>
          <w:sz w:val="24"/>
          <w:szCs w:val="24"/>
        </w:rPr>
      </w:pPr>
    </w:p>
    <w:tbl>
      <w:tblPr>
        <w:tblW w:w="6120" w:type="dxa"/>
        <w:tblInd w:w="970" w:type="dxa"/>
        <w:tblCellMar>
          <w:left w:w="70" w:type="dxa"/>
          <w:right w:w="70" w:type="dxa"/>
        </w:tblCellMar>
        <w:tblLook w:val="0000" w:firstRow="0" w:lastRow="0" w:firstColumn="0" w:lastColumn="0" w:noHBand="0" w:noVBand="0"/>
      </w:tblPr>
      <w:tblGrid>
        <w:gridCol w:w="1800"/>
        <w:gridCol w:w="4320"/>
      </w:tblGrid>
      <w:tr w:rsidR="00B21BA0" w:rsidRPr="00190C70" w:rsidTr="00BE7BF1">
        <w:trPr>
          <w:trHeight w:val="374"/>
        </w:trPr>
        <w:tc>
          <w:tcPr>
            <w:tcW w:w="1800" w:type="dxa"/>
            <w:tcBorders>
              <w:top w:val="single" w:sz="8" w:space="0" w:color="auto"/>
              <w:left w:val="single" w:sz="8" w:space="0" w:color="auto"/>
              <w:bottom w:val="single" w:sz="8" w:space="0" w:color="auto"/>
              <w:right w:val="single" w:sz="8" w:space="0" w:color="auto"/>
            </w:tcBorders>
            <w:noWrap/>
            <w:vAlign w:val="bottom"/>
          </w:tcPr>
          <w:p w:rsidR="00B21BA0" w:rsidRPr="00190C70" w:rsidRDefault="00B21BA0" w:rsidP="00BE7BF1">
            <w:pPr>
              <w:jc w:val="center"/>
              <w:rPr>
                <w:rFonts w:cs="Arial"/>
                <w:b/>
                <w:bCs/>
                <w:sz w:val="24"/>
                <w:szCs w:val="24"/>
              </w:rPr>
            </w:pPr>
            <w:r w:rsidRPr="00190C70">
              <w:rPr>
                <w:rFonts w:cs="Arial"/>
                <w:b/>
                <w:bCs/>
                <w:sz w:val="24"/>
                <w:szCs w:val="24"/>
              </w:rPr>
              <w:t>No.</w:t>
            </w:r>
          </w:p>
        </w:tc>
        <w:tc>
          <w:tcPr>
            <w:tcW w:w="4320" w:type="dxa"/>
            <w:tcBorders>
              <w:top w:val="single" w:sz="8" w:space="0" w:color="auto"/>
              <w:left w:val="nil"/>
              <w:bottom w:val="single" w:sz="8" w:space="0" w:color="auto"/>
              <w:right w:val="single" w:sz="8" w:space="0" w:color="auto"/>
            </w:tcBorders>
            <w:noWrap/>
            <w:vAlign w:val="bottom"/>
          </w:tcPr>
          <w:p w:rsidR="00B21BA0" w:rsidRPr="00190C70" w:rsidRDefault="00B21BA0" w:rsidP="00BE7BF1">
            <w:pPr>
              <w:jc w:val="center"/>
              <w:rPr>
                <w:rFonts w:cs="Arial"/>
                <w:b/>
                <w:bCs/>
                <w:sz w:val="24"/>
                <w:szCs w:val="24"/>
              </w:rPr>
            </w:pPr>
            <w:r w:rsidRPr="00190C70">
              <w:rPr>
                <w:rFonts w:cs="Arial"/>
                <w:b/>
                <w:bCs/>
                <w:sz w:val="24"/>
                <w:szCs w:val="24"/>
              </w:rPr>
              <w:t>SECTORES</w:t>
            </w:r>
          </w:p>
        </w:tc>
      </w:tr>
      <w:tr w:rsidR="00B21BA0" w:rsidRPr="00190C70" w:rsidTr="00BE7BF1">
        <w:trPr>
          <w:trHeight w:val="255"/>
        </w:trPr>
        <w:tc>
          <w:tcPr>
            <w:tcW w:w="1800" w:type="dxa"/>
            <w:tcBorders>
              <w:top w:val="nil"/>
              <w:left w:val="single" w:sz="8"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rPr>
            </w:pPr>
            <w:r w:rsidRPr="00190C70">
              <w:rPr>
                <w:rFonts w:cs="Arial"/>
                <w:b/>
                <w:bCs/>
                <w:sz w:val="24"/>
                <w:szCs w:val="24"/>
              </w:rPr>
              <w:t>1</w:t>
            </w:r>
          </w:p>
        </w:tc>
        <w:tc>
          <w:tcPr>
            <w:tcW w:w="4320" w:type="dxa"/>
            <w:tcBorders>
              <w:top w:val="nil"/>
              <w:left w:val="nil"/>
              <w:bottom w:val="single" w:sz="4" w:space="0" w:color="auto"/>
              <w:right w:val="single" w:sz="4" w:space="0" w:color="auto"/>
            </w:tcBorders>
            <w:noWrap/>
            <w:vAlign w:val="bottom"/>
          </w:tcPr>
          <w:p w:rsidR="00B21BA0" w:rsidRPr="00190C70" w:rsidRDefault="00E35ECE" w:rsidP="00E35ECE">
            <w:pPr>
              <w:rPr>
                <w:rFonts w:cs="Arial"/>
                <w:sz w:val="24"/>
                <w:szCs w:val="24"/>
              </w:rPr>
            </w:pPr>
            <w:r w:rsidRPr="00190C70">
              <w:rPr>
                <w:rFonts w:cs="Arial"/>
                <w:sz w:val="24"/>
                <w:szCs w:val="24"/>
              </w:rPr>
              <w:t xml:space="preserve">   </w:t>
            </w:r>
            <w:r w:rsidR="00B21BA0" w:rsidRPr="00190C70">
              <w:rPr>
                <w:rFonts w:cs="Arial"/>
                <w:sz w:val="24"/>
                <w:szCs w:val="24"/>
              </w:rPr>
              <w:t>SECTOR HOMOGENEO 3.1</w:t>
            </w:r>
          </w:p>
        </w:tc>
      </w:tr>
      <w:tr w:rsidR="00B21BA0" w:rsidRPr="00190C70" w:rsidTr="00BE7BF1">
        <w:trPr>
          <w:trHeight w:val="255"/>
        </w:trPr>
        <w:tc>
          <w:tcPr>
            <w:tcW w:w="1800" w:type="dxa"/>
            <w:tcBorders>
              <w:top w:val="nil"/>
              <w:left w:val="single" w:sz="8"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rPr>
            </w:pPr>
            <w:r w:rsidRPr="00190C70">
              <w:rPr>
                <w:rFonts w:cs="Arial"/>
                <w:b/>
                <w:bCs/>
                <w:sz w:val="24"/>
                <w:szCs w:val="24"/>
              </w:rPr>
              <w:t>2</w:t>
            </w:r>
          </w:p>
        </w:tc>
        <w:tc>
          <w:tcPr>
            <w:tcW w:w="4320" w:type="dxa"/>
            <w:tcBorders>
              <w:top w:val="nil"/>
              <w:left w:val="nil"/>
              <w:bottom w:val="single" w:sz="4" w:space="0" w:color="auto"/>
              <w:right w:val="single" w:sz="4" w:space="0" w:color="auto"/>
            </w:tcBorders>
            <w:noWrap/>
            <w:vAlign w:val="bottom"/>
          </w:tcPr>
          <w:p w:rsidR="00B21BA0" w:rsidRPr="00190C70" w:rsidRDefault="00E35ECE" w:rsidP="00E35ECE">
            <w:pPr>
              <w:rPr>
                <w:rFonts w:cs="Arial"/>
                <w:sz w:val="24"/>
                <w:szCs w:val="24"/>
              </w:rPr>
            </w:pPr>
            <w:r w:rsidRPr="00190C70">
              <w:rPr>
                <w:rFonts w:cs="Arial"/>
                <w:sz w:val="24"/>
                <w:szCs w:val="24"/>
              </w:rPr>
              <w:t xml:space="preserve">   </w:t>
            </w:r>
            <w:r w:rsidR="00B21BA0" w:rsidRPr="00190C70">
              <w:rPr>
                <w:rFonts w:cs="Arial"/>
                <w:sz w:val="24"/>
                <w:szCs w:val="24"/>
              </w:rPr>
              <w:t>SECTOR HOMOGENEO 3.2</w:t>
            </w:r>
          </w:p>
        </w:tc>
      </w:tr>
      <w:tr w:rsidR="00B21BA0" w:rsidRPr="00190C70" w:rsidTr="00BE7BF1">
        <w:trPr>
          <w:trHeight w:val="255"/>
        </w:trPr>
        <w:tc>
          <w:tcPr>
            <w:tcW w:w="1800" w:type="dxa"/>
            <w:tcBorders>
              <w:top w:val="nil"/>
              <w:left w:val="single" w:sz="8"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rPr>
            </w:pPr>
            <w:r w:rsidRPr="00190C70">
              <w:rPr>
                <w:rFonts w:cs="Arial"/>
                <w:b/>
                <w:bCs/>
                <w:sz w:val="24"/>
                <w:szCs w:val="24"/>
              </w:rPr>
              <w:t>3</w:t>
            </w:r>
          </w:p>
        </w:tc>
        <w:tc>
          <w:tcPr>
            <w:tcW w:w="4320" w:type="dxa"/>
            <w:tcBorders>
              <w:top w:val="nil"/>
              <w:left w:val="nil"/>
              <w:bottom w:val="single" w:sz="4" w:space="0" w:color="auto"/>
              <w:right w:val="single" w:sz="4" w:space="0" w:color="auto"/>
            </w:tcBorders>
            <w:noWrap/>
            <w:vAlign w:val="bottom"/>
          </w:tcPr>
          <w:p w:rsidR="00B21BA0" w:rsidRPr="00190C70" w:rsidRDefault="00E35ECE" w:rsidP="00E35ECE">
            <w:pPr>
              <w:rPr>
                <w:rFonts w:cs="Arial"/>
                <w:sz w:val="24"/>
                <w:szCs w:val="24"/>
              </w:rPr>
            </w:pPr>
            <w:r w:rsidRPr="00190C70">
              <w:rPr>
                <w:rFonts w:cs="Arial"/>
                <w:sz w:val="24"/>
                <w:szCs w:val="24"/>
              </w:rPr>
              <w:t xml:space="preserve">   </w:t>
            </w:r>
            <w:r w:rsidR="00B21BA0" w:rsidRPr="00190C70">
              <w:rPr>
                <w:rFonts w:cs="Arial"/>
                <w:sz w:val="24"/>
                <w:szCs w:val="24"/>
              </w:rPr>
              <w:t>SECTOR HOMOGENEO 3.21</w:t>
            </w:r>
          </w:p>
        </w:tc>
      </w:tr>
      <w:tr w:rsidR="00B21BA0" w:rsidRPr="00190C70" w:rsidTr="00BE7BF1">
        <w:trPr>
          <w:trHeight w:val="255"/>
        </w:trPr>
        <w:tc>
          <w:tcPr>
            <w:tcW w:w="1800" w:type="dxa"/>
            <w:tcBorders>
              <w:top w:val="nil"/>
              <w:left w:val="single" w:sz="8"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rPr>
            </w:pPr>
            <w:r w:rsidRPr="00190C70">
              <w:rPr>
                <w:rFonts w:cs="Arial"/>
                <w:b/>
                <w:bCs/>
                <w:sz w:val="24"/>
                <w:szCs w:val="24"/>
              </w:rPr>
              <w:t>4</w:t>
            </w:r>
          </w:p>
        </w:tc>
        <w:tc>
          <w:tcPr>
            <w:tcW w:w="4320" w:type="dxa"/>
            <w:tcBorders>
              <w:top w:val="nil"/>
              <w:left w:val="nil"/>
              <w:bottom w:val="single" w:sz="4" w:space="0" w:color="auto"/>
              <w:right w:val="single" w:sz="4" w:space="0" w:color="auto"/>
            </w:tcBorders>
            <w:noWrap/>
            <w:vAlign w:val="bottom"/>
          </w:tcPr>
          <w:p w:rsidR="00B21BA0" w:rsidRPr="00190C70" w:rsidRDefault="00E35ECE" w:rsidP="00E35ECE">
            <w:pPr>
              <w:rPr>
                <w:rFonts w:cs="Arial"/>
                <w:sz w:val="24"/>
                <w:szCs w:val="24"/>
              </w:rPr>
            </w:pPr>
            <w:r w:rsidRPr="00190C70">
              <w:rPr>
                <w:rFonts w:cs="Arial"/>
                <w:sz w:val="24"/>
                <w:szCs w:val="24"/>
              </w:rPr>
              <w:t xml:space="preserve">   </w:t>
            </w:r>
            <w:r w:rsidR="00B21BA0" w:rsidRPr="00190C70">
              <w:rPr>
                <w:rFonts w:cs="Arial"/>
                <w:sz w:val="24"/>
                <w:szCs w:val="24"/>
              </w:rPr>
              <w:t>SECTOR HOMOGENEO 3.3</w:t>
            </w:r>
          </w:p>
        </w:tc>
      </w:tr>
      <w:tr w:rsidR="00B21BA0" w:rsidRPr="00190C70" w:rsidTr="00BE7BF1">
        <w:trPr>
          <w:trHeight w:val="255"/>
        </w:trPr>
        <w:tc>
          <w:tcPr>
            <w:tcW w:w="1800" w:type="dxa"/>
            <w:tcBorders>
              <w:top w:val="nil"/>
              <w:left w:val="single" w:sz="8"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rPr>
            </w:pPr>
            <w:r w:rsidRPr="00190C70">
              <w:rPr>
                <w:rFonts w:cs="Arial"/>
                <w:b/>
                <w:bCs/>
                <w:sz w:val="24"/>
                <w:szCs w:val="24"/>
              </w:rPr>
              <w:lastRenderedPageBreak/>
              <w:t>5</w:t>
            </w:r>
          </w:p>
        </w:tc>
        <w:tc>
          <w:tcPr>
            <w:tcW w:w="4320" w:type="dxa"/>
            <w:tcBorders>
              <w:top w:val="nil"/>
              <w:left w:val="nil"/>
              <w:bottom w:val="single" w:sz="4" w:space="0" w:color="auto"/>
              <w:right w:val="single" w:sz="4" w:space="0" w:color="auto"/>
            </w:tcBorders>
            <w:noWrap/>
            <w:vAlign w:val="bottom"/>
          </w:tcPr>
          <w:p w:rsidR="00B21BA0" w:rsidRPr="00190C70" w:rsidRDefault="00E35ECE" w:rsidP="00E35ECE">
            <w:pPr>
              <w:rPr>
                <w:rFonts w:cs="Arial"/>
                <w:sz w:val="24"/>
                <w:szCs w:val="24"/>
                <w:lang w:val="es-ES"/>
              </w:rPr>
            </w:pPr>
            <w:r w:rsidRPr="00190C70">
              <w:rPr>
                <w:rFonts w:cs="Arial"/>
                <w:sz w:val="24"/>
                <w:szCs w:val="24"/>
                <w:lang w:val="es-ES"/>
              </w:rPr>
              <w:t xml:space="preserve">   </w:t>
            </w:r>
            <w:r w:rsidR="00B21BA0" w:rsidRPr="00190C70">
              <w:rPr>
                <w:rFonts w:cs="Arial"/>
                <w:sz w:val="24"/>
                <w:szCs w:val="24"/>
                <w:lang w:val="es-ES"/>
              </w:rPr>
              <w:t>SECTOR HOMOGÉNEO 3.31</w:t>
            </w:r>
          </w:p>
        </w:tc>
      </w:tr>
      <w:tr w:rsidR="00B21BA0" w:rsidRPr="00190C70" w:rsidTr="00BE7BF1">
        <w:trPr>
          <w:trHeight w:val="255"/>
        </w:trPr>
        <w:tc>
          <w:tcPr>
            <w:tcW w:w="1800" w:type="dxa"/>
            <w:tcBorders>
              <w:top w:val="nil"/>
              <w:left w:val="single" w:sz="8"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lang w:val="es-ES"/>
              </w:rPr>
            </w:pPr>
            <w:r w:rsidRPr="00190C70">
              <w:rPr>
                <w:rFonts w:cs="Arial"/>
                <w:b/>
                <w:bCs/>
                <w:sz w:val="24"/>
                <w:szCs w:val="24"/>
                <w:lang w:val="es-ES"/>
              </w:rPr>
              <w:t>6</w:t>
            </w:r>
          </w:p>
        </w:tc>
        <w:tc>
          <w:tcPr>
            <w:tcW w:w="4320" w:type="dxa"/>
            <w:tcBorders>
              <w:top w:val="nil"/>
              <w:left w:val="nil"/>
              <w:bottom w:val="single" w:sz="4" w:space="0" w:color="auto"/>
              <w:right w:val="single" w:sz="4" w:space="0" w:color="auto"/>
            </w:tcBorders>
            <w:noWrap/>
            <w:vAlign w:val="bottom"/>
          </w:tcPr>
          <w:p w:rsidR="00B21BA0" w:rsidRPr="00190C70" w:rsidRDefault="00E35ECE" w:rsidP="00E35ECE">
            <w:pPr>
              <w:rPr>
                <w:rFonts w:cs="Arial"/>
                <w:sz w:val="24"/>
                <w:szCs w:val="24"/>
                <w:lang w:val="es-ES"/>
              </w:rPr>
            </w:pPr>
            <w:r w:rsidRPr="00190C70">
              <w:rPr>
                <w:rFonts w:cs="Arial"/>
                <w:sz w:val="24"/>
                <w:szCs w:val="24"/>
              </w:rPr>
              <w:t xml:space="preserve">   </w:t>
            </w:r>
            <w:r w:rsidR="00B21BA0" w:rsidRPr="00190C70">
              <w:rPr>
                <w:rFonts w:cs="Arial"/>
                <w:sz w:val="24"/>
                <w:szCs w:val="24"/>
              </w:rPr>
              <w:t>SECTOR HOMOGENEO 3.32</w:t>
            </w:r>
          </w:p>
        </w:tc>
      </w:tr>
      <w:tr w:rsidR="00B21BA0" w:rsidRPr="00190C70" w:rsidTr="00BE7BF1">
        <w:trPr>
          <w:trHeight w:val="255"/>
        </w:trPr>
        <w:tc>
          <w:tcPr>
            <w:tcW w:w="1800" w:type="dxa"/>
            <w:tcBorders>
              <w:top w:val="single" w:sz="4" w:space="0" w:color="auto"/>
              <w:left w:val="single" w:sz="4"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lang w:val="es-ES"/>
              </w:rPr>
            </w:pPr>
            <w:r w:rsidRPr="00190C70">
              <w:rPr>
                <w:rFonts w:cs="Arial"/>
                <w:b/>
                <w:bCs/>
                <w:sz w:val="24"/>
                <w:szCs w:val="24"/>
                <w:lang w:val="es-ES"/>
              </w:rPr>
              <w:t>7</w:t>
            </w:r>
          </w:p>
        </w:tc>
        <w:tc>
          <w:tcPr>
            <w:tcW w:w="4320" w:type="dxa"/>
            <w:tcBorders>
              <w:top w:val="single" w:sz="4" w:space="0" w:color="auto"/>
              <w:left w:val="nil"/>
              <w:bottom w:val="single" w:sz="4" w:space="0" w:color="auto"/>
              <w:right w:val="single" w:sz="4" w:space="0" w:color="auto"/>
            </w:tcBorders>
            <w:noWrap/>
            <w:vAlign w:val="bottom"/>
          </w:tcPr>
          <w:p w:rsidR="00B21BA0" w:rsidRPr="00190C70" w:rsidRDefault="00E35ECE" w:rsidP="00BE7BF1">
            <w:pPr>
              <w:ind w:right="-328"/>
              <w:rPr>
                <w:rFonts w:cs="Arial"/>
                <w:sz w:val="24"/>
                <w:szCs w:val="24"/>
                <w:lang w:val="es-ES"/>
              </w:rPr>
            </w:pPr>
            <w:r w:rsidRPr="00190C70">
              <w:rPr>
                <w:rFonts w:cs="Arial"/>
                <w:sz w:val="24"/>
                <w:szCs w:val="24"/>
                <w:lang w:val="es-ES"/>
              </w:rPr>
              <w:t xml:space="preserve">   </w:t>
            </w:r>
            <w:r w:rsidR="00B21BA0" w:rsidRPr="00190C70">
              <w:rPr>
                <w:rFonts w:cs="Arial"/>
                <w:sz w:val="24"/>
                <w:szCs w:val="24"/>
                <w:lang w:val="es-ES"/>
              </w:rPr>
              <w:t>SECTOR HOMOGÉNEO 4.2</w:t>
            </w:r>
          </w:p>
        </w:tc>
      </w:tr>
      <w:tr w:rsidR="00B21BA0" w:rsidRPr="00190C70" w:rsidTr="00BE7BF1">
        <w:trPr>
          <w:trHeight w:val="255"/>
        </w:trPr>
        <w:tc>
          <w:tcPr>
            <w:tcW w:w="1800" w:type="dxa"/>
            <w:tcBorders>
              <w:top w:val="single" w:sz="4" w:space="0" w:color="auto"/>
              <w:left w:val="single" w:sz="4"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lang w:val="es-ES"/>
              </w:rPr>
            </w:pPr>
            <w:r w:rsidRPr="00190C70">
              <w:rPr>
                <w:rFonts w:cs="Arial"/>
                <w:b/>
                <w:bCs/>
                <w:sz w:val="24"/>
                <w:szCs w:val="24"/>
                <w:lang w:val="es-ES"/>
              </w:rPr>
              <w:t>8</w:t>
            </w:r>
          </w:p>
        </w:tc>
        <w:tc>
          <w:tcPr>
            <w:tcW w:w="4320" w:type="dxa"/>
            <w:tcBorders>
              <w:top w:val="single" w:sz="4" w:space="0" w:color="auto"/>
              <w:left w:val="nil"/>
              <w:bottom w:val="single" w:sz="4" w:space="0" w:color="auto"/>
              <w:right w:val="single" w:sz="4" w:space="0" w:color="auto"/>
            </w:tcBorders>
            <w:noWrap/>
            <w:vAlign w:val="bottom"/>
          </w:tcPr>
          <w:p w:rsidR="00B21BA0" w:rsidRPr="00190C70" w:rsidRDefault="00E35ECE" w:rsidP="00E35ECE">
            <w:pPr>
              <w:ind w:right="-328"/>
              <w:rPr>
                <w:rFonts w:cs="Arial"/>
                <w:sz w:val="24"/>
                <w:szCs w:val="24"/>
                <w:lang w:val="es-ES"/>
              </w:rPr>
            </w:pPr>
            <w:r w:rsidRPr="00190C70">
              <w:rPr>
                <w:rFonts w:cs="Arial"/>
                <w:sz w:val="24"/>
                <w:szCs w:val="24"/>
              </w:rPr>
              <w:t xml:space="preserve">   </w:t>
            </w:r>
            <w:r w:rsidR="00B21BA0" w:rsidRPr="00190C70">
              <w:rPr>
                <w:rFonts w:cs="Arial"/>
                <w:sz w:val="24"/>
                <w:szCs w:val="24"/>
              </w:rPr>
              <w:t>SECTOR HOMOGENEO 4.21</w:t>
            </w:r>
          </w:p>
        </w:tc>
      </w:tr>
      <w:tr w:rsidR="00B21BA0" w:rsidRPr="00190C70" w:rsidTr="00BE7BF1">
        <w:trPr>
          <w:trHeight w:val="255"/>
        </w:trPr>
        <w:tc>
          <w:tcPr>
            <w:tcW w:w="1800" w:type="dxa"/>
            <w:tcBorders>
              <w:top w:val="single" w:sz="4" w:space="0" w:color="auto"/>
              <w:left w:val="single" w:sz="4"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lang w:val="es-ES"/>
              </w:rPr>
            </w:pPr>
            <w:r w:rsidRPr="00190C70">
              <w:rPr>
                <w:rFonts w:cs="Arial"/>
                <w:b/>
                <w:bCs/>
                <w:sz w:val="24"/>
                <w:szCs w:val="24"/>
                <w:lang w:val="es-ES"/>
              </w:rPr>
              <w:t>9</w:t>
            </w:r>
          </w:p>
        </w:tc>
        <w:tc>
          <w:tcPr>
            <w:tcW w:w="4320" w:type="dxa"/>
            <w:tcBorders>
              <w:top w:val="single" w:sz="4" w:space="0" w:color="auto"/>
              <w:left w:val="nil"/>
              <w:bottom w:val="single" w:sz="4" w:space="0" w:color="auto"/>
              <w:right w:val="single" w:sz="4" w:space="0" w:color="auto"/>
            </w:tcBorders>
            <w:noWrap/>
            <w:vAlign w:val="bottom"/>
          </w:tcPr>
          <w:p w:rsidR="00B21BA0" w:rsidRPr="00190C70" w:rsidRDefault="00E35ECE" w:rsidP="00BE7BF1">
            <w:pPr>
              <w:ind w:right="-328"/>
              <w:rPr>
                <w:rFonts w:cs="Arial"/>
                <w:sz w:val="24"/>
                <w:szCs w:val="24"/>
                <w:lang w:val="es-ES"/>
              </w:rPr>
            </w:pPr>
            <w:r w:rsidRPr="00190C70">
              <w:rPr>
                <w:rFonts w:cs="Arial"/>
                <w:sz w:val="24"/>
                <w:szCs w:val="24"/>
                <w:lang w:val="es-ES"/>
              </w:rPr>
              <w:t xml:space="preserve">   </w:t>
            </w:r>
            <w:r w:rsidR="00B21BA0" w:rsidRPr="00190C70">
              <w:rPr>
                <w:rFonts w:cs="Arial"/>
                <w:sz w:val="24"/>
                <w:szCs w:val="24"/>
                <w:lang w:val="es-ES"/>
              </w:rPr>
              <w:t>SECTOR HOMOGÉNEO 4.22</w:t>
            </w:r>
          </w:p>
        </w:tc>
      </w:tr>
      <w:tr w:rsidR="00B21BA0" w:rsidRPr="00190C70" w:rsidTr="00BE7BF1">
        <w:trPr>
          <w:trHeight w:val="255"/>
        </w:trPr>
        <w:tc>
          <w:tcPr>
            <w:tcW w:w="1800" w:type="dxa"/>
            <w:tcBorders>
              <w:top w:val="single" w:sz="4" w:space="0" w:color="auto"/>
              <w:left w:val="single" w:sz="4"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lang w:val="es-ES"/>
              </w:rPr>
            </w:pPr>
            <w:r w:rsidRPr="00190C70">
              <w:rPr>
                <w:rFonts w:cs="Arial"/>
                <w:b/>
                <w:bCs/>
                <w:sz w:val="24"/>
                <w:szCs w:val="24"/>
                <w:lang w:val="es-ES"/>
              </w:rPr>
              <w:t>10</w:t>
            </w:r>
          </w:p>
        </w:tc>
        <w:tc>
          <w:tcPr>
            <w:tcW w:w="4320" w:type="dxa"/>
            <w:tcBorders>
              <w:top w:val="single" w:sz="4" w:space="0" w:color="auto"/>
              <w:left w:val="nil"/>
              <w:bottom w:val="single" w:sz="4" w:space="0" w:color="auto"/>
              <w:right w:val="single" w:sz="4" w:space="0" w:color="auto"/>
            </w:tcBorders>
            <w:noWrap/>
            <w:vAlign w:val="bottom"/>
          </w:tcPr>
          <w:p w:rsidR="00B21BA0" w:rsidRPr="00190C70" w:rsidRDefault="00E35ECE" w:rsidP="00E35ECE">
            <w:pPr>
              <w:ind w:right="-328"/>
              <w:rPr>
                <w:rFonts w:cs="Arial"/>
                <w:sz w:val="24"/>
                <w:szCs w:val="24"/>
                <w:lang w:val="es-ES"/>
              </w:rPr>
            </w:pPr>
            <w:r w:rsidRPr="00190C70">
              <w:rPr>
                <w:rFonts w:cs="Arial"/>
                <w:sz w:val="24"/>
                <w:szCs w:val="24"/>
              </w:rPr>
              <w:t xml:space="preserve">   </w:t>
            </w:r>
            <w:r w:rsidR="00B21BA0" w:rsidRPr="00190C70">
              <w:rPr>
                <w:rFonts w:cs="Arial"/>
                <w:sz w:val="24"/>
                <w:szCs w:val="24"/>
              </w:rPr>
              <w:t>SECTOR HOMOGENEO 5.2</w:t>
            </w:r>
          </w:p>
        </w:tc>
      </w:tr>
      <w:tr w:rsidR="00B21BA0" w:rsidRPr="00190C70" w:rsidTr="00BE7BF1">
        <w:trPr>
          <w:trHeight w:val="255"/>
        </w:trPr>
        <w:tc>
          <w:tcPr>
            <w:tcW w:w="1800" w:type="dxa"/>
            <w:tcBorders>
              <w:top w:val="single" w:sz="4" w:space="0" w:color="auto"/>
              <w:left w:val="single" w:sz="4"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lang w:val="es-ES"/>
              </w:rPr>
            </w:pPr>
            <w:r w:rsidRPr="00190C70">
              <w:rPr>
                <w:rFonts w:cs="Arial"/>
                <w:b/>
                <w:bCs/>
                <w:sz w:val="24"/>
                <w:szCs w:val="24"/>
                <w:lang w:val="es-ES"/>
              </w:rPr>
              <w:t>11</w:t>
            </w:r>
          </w:p>
        </w:tc>
        <w:tc>
          <w:tcPr>
            <w:tcW w:w="4320" w:type="dxa"/>
            <w:tcBorders>
              <w:top w:val="single" w:sz="4" w:space="0" w:color="auto"/>
              <w:left w:val="nil"/>
              <w:bottom w:val="single" w:sz="4" w:space="0" w:color="auto"/>
              <w:right w:val="single" w:sz="4" w:space="0" w:color="auto"/>
            </w:tcBorders>
            <w:noWrap/>
            <w:vAlign w:val="bottom"/>
          </w:tcPr>
          <w:p w:rsidR="00B21BA0" w:rsidRPr="00190C70" w:rsidRDefault="00E35ECE" w:rsidP="00BE7BF1">
            <w:pPr>
              <w:ind w:right="-328"/>
              <w:rPr>
                <w:rFonts w:cs="Arial"/>
                <w:sz w:val="24"/>
                <w:szCs w:val="24"/>
                <w:lang w:val="es-ES"/>
              </w:rPr>
            </w:pPr>
            <w:r w:rsidRPr="00190C70">
              <w:rPr>
                <w:rFonts w:cs="Arial"/>
                <w:sz w:val="24"/>
                <w:szCs w:val="24"/>
                <w:lang w:val="es-ES"/>
              </w:rPr>
              <w:t xml:space="preserve">   </w:t>
            </w:r>
            <w:r w:rsidR="00B21BA0" w:rsidRPr="00190C70">
              <w:rPr>
                <w:rFonts w:cs="Arial"/>
                <w:sz w:val="24"/>
                <w:szCs w:val="24"/>
                <w:lang w:val="es-ES"/>
              </w:rPr>
              <w:t>SECTOR HOMOGÉNEO 5.21</w:t>
            </w:r>
          </w:p>
        </w:tc>
      </w:tr>
      <w:tr w:rsidR="00B21BA0" w:rsidRPr="00190C70" w:rsidTr="00BE7BF1">
        <w:trPr>
          <w:trHeight w:val="255"/>
        </w:trPr>
        <w:tc>
          <w:tcPr>
            <w:tcW w:w="1800" w:type="dxa"/>
            <w:tcBorders>
              <w:top w:val="single" w:sz="4" w:space="0" w:color="auto"/>
              <w:left w:val="single" w:sz="4"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lang w:val="es-ES"/>
              </w:rPr>
            </w:pPr>
            <w:r w:rsidRPr="00190C70">
              <w:rPr>
                <w:rFonts w:cs="Arial"/>
                <w:b/>
                <w:bCs/>
                <w:sz w:val="24"/>
                <w:szCs w:val="24"/>
                <w:lang w:val="es-ES"/>
              </w:rPr>
              <w:t>12</w:t>
            </w:r>
          </w:p>
        </w:tc>
        <w:tc>
          <w:tcPr>
            <w:tcW w:w="4320" w:type="dxa"/>
            <w:tcBorders>
              <w:top w:val="single" w:sz="4" w:space="0" w:color="auto"/>
              <w:left w:val="nil"/>
              <w:bottom w:val="single" w:sz="4" w:space="0" w:color="auto"/>
              <w:right w:val="single" w:sz="4" w:space="0" w:color="auto"/>
            </w:tcBorders>
            <w:noWrap/>
            <w:vAlign w:val="bottom"/>
          </w:tcPr>
          <w:p w:rsidR="00B21BA0" w:rsidRPr="00190C70" w:rsidRDefault="00E35ECE" w:rsidP="00E35ECE">
            <w:pPr>
              <w:ind w:right="-328"/>
              <w:rPr>
                <w:rFonts w:cs="Arial"/>
                <w:sz w:val="24"/>
                <w:szCs w:val="24"/>
                <w:lang w:val="es-ES"/>
              </w:rPr>
            </w:pPr>
            <w:r w:rsidRPr="00190C70">
              <w:rPr>
                <w:rFonts w:cs="Arial"/>
                <w:sz w:val="24"/>
                <w:szCs w:val="24"/>
              </w:rPr>
              <w:t xml:space="preserve">   </w:t>
            </w:r>
            <w:r w:rsidR="00B21BA0" w:rsidRPr="00190C70">
              <w:rPr>
                <w:rFonts w:cs="Arial"/>
                <w:sz w:val="24"/>
                <w:szCs w:val="24"/>
              </w:rPr>
              <w:t>SECTOR HOMOGENEO 5.22</w:t>
            </w:r>
          </w:p>
        </w:tc>
      </w:tr>
      <w:tr w:rsidR="00B21BA0" w:rsidRPr="00190C70" w:rsidTr="00BE7BF1">
        <w:trPr>
          <w:trHeight w:val="255"/>
        </w:trPr>
        <w:tc>
          <w:tcPr>
            <w:tcW w:w="1800" w:type="dxa"/>
            <w:tcBorders>
              <w:top w:val="single" w:sz="4" w:space="0" w:color="auto"/>
              <w:left w:val="single" w:sz="4"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lang w:val="es-ES"/>
              </w:rPr>
            </w:pPr>
            <w:r w:rsidRPr="00190C70">
              <w:rPr>
                <w:rFonts w:cs="Arial"/>
                <w:b/>
                <w:bCs/>
                <w:sz w:val="24"/>
                <w:szCs w:val="24"/>
                <w:lang w:val="es-ES"/>
              </w:rPr>
              <w:t>13</w:t>
            </w:r>
          </w:p>
        </w:tc>
        <w:tc>
          <w:tcPr>
            <w:tcW w:w="4320" w:type="dxa"/>
            <w:tcBorders>
              <w:top w:val="single" w:sz="4" w:space="0" w:color="auto"/>
              <w:left w:val="nil"/>
              <w:bottom w:val="single" w:sz="4" w:space="0" w:color="auto"/>
              <w:right w:val="single" w:sz="4" w:space="0" w:color="auto"/>
            </w:tcBorders>
            <w:noWrap/>
            <w:vAlign w:val="bottom"/>
          </w:tcPr>
          <w:p w:rsidR="00B21BA0" w:rsidRPr="00190C70" w:rsidRDefault="00E35ECE" w:rsidP="00BE7BF1">
            <w:pPr>
              <w:ind w:right="-328"/>
              <w:rPr>
                <w:rFonts w:cs="Arial"/>
                <w:sz w:val="24"/>
                <w:szCs w:val="24"/>
                <w:lang w:val="es-ES"/>
              </w:rPr>
            </w:pPr>
            <w:r w:rsidRPr="00190C70">
              <w:rPr>
                <w:rFonts w:cs="Arial"/>
                <w:sz w:val="24"/>
                <w:szCs w:val="24"/>
                <w:lang w:val="es-ES"/>
              </w:rPr>
              <w:t xml:space="preserve">   </w:t>
            </w:r>
            <w:r w:rsidR="00B21BA0" w:rsidRPr="00190C70">
              <w:rPr>
                <w:rFonts w:cs="Arial"/>
                <w:sz w:val="24"/>
                <w:szCs w:val="24"/>
                <w:lang w:val="es-ES"/>
              </w:rPr>
              <w:t>SECTOR HOMOGÉNEO 6.1</w:t>
            </w:r>
          </w:p>
        </w:tc>
      </w:tr>
      <w:tr w:rsidR="00B21BA0" w:rsidRPr="00190C70" w:rsidTr="00BE7BF1">
        <w:trPr>
          <w:trHeight w:val="255"/>
        </w:trPr>
        <w:tc>
          <w:tcPr>
            <w:tcW w:w="1800" w:type="dxa"/>
            <w:tcBorders>
              <w:top w:val="single" w:sz="4" w:space="0" w:color="auto"/>
              <w:left w:val="single" w:sz="4" w:space="0" w:color="auto"/>
              <w:bottom w:val="single" w:sz="4" w:space="0" w:color="auto"/>
              <w:right w:val="single" w:sz="4" w:space="0" w:color="auto"/>
            </w:tcBorders>
            <w:noWrap/>
            <w:vAlign w:val="bottom"/>
          </w:tcPr>
          <w:p w:rsidR="00B21BA0" w:rsidRPr="00190C70" w:rsidRDefault="00B21BA0" w:rsidP="00BE7BF1">
            <w:pPr>
              <w:jc w:val="center"/>
              <w:rPr>
                <w:rFonts w:cs="Arial"/>
                <w:b/>
                <w:bCs/>
                <w:sz w:val="24"/>
                <w:szCs w:val="24"/>
                <w:lang w:val="es-ES"/>
              </w:rPr>
            </w:pPr>
            <w:r w:rsidRPr="00190C70">
              <w:rPr>
                <w:rFonts w:cs="Arial"/>
                <w:b/>
                <w:bCs/>
                <w:sz w:val="24"/>
                <w:szCs w:val="24"/>
                <w:lang w:val="es-ES"/>
              </w:rPr>
              <w:t>14</w:t>
            </w:r>
          </w:p>
        </w:tc>
        <w:tc>
          <w:tcPr>
            <w:tcW w:w="4320" w:type="dxa"/>
            <w:tcBorders>
              <w:top w:val="single" w:sz="4" w:space="0" w:color="auto"/>
              <w:left w:val="nil"/>
              <w:bottom w:val="single" w:sz="4" w:space="0" w:color="auto"/>
              <w:right w:val="single" w:sz="4" w:space="0" w:color="auto"/>
            </w:tcBorders>
            <w:noWrap/>
            <w:vAlign w:val="bottom"/>
          </w:tcPr>
          <w:p w:rsidR="00B21BA0" w:rsidRPr="00190C70" w:rsidRDefault="00E35ECE" w:rsidP="00E35ECE">
            <w:pPr>
              <w:ind w:right="-328"/>
              <w:rPr>
                <w:rFonts w:cs="Arial"/>
                <w:sz w:val="24"/>
                <w:szCs w:val="24"/>
                <w:lang w:val="es-ES"/>
              </w:rPr>
            </w:pPr>
            <w:r w:rsidRPr="00190C70">
              <w:rPr>
                <w:rFonts w:cs="Arial"/>
                <w:sz w:val="24"/>
                <w:szCs w:val="24"/>
              </w:rPr>
              <w:t xml:space="preserve">   </w:t>
            </w:r>
            <w:r w:rsidR="00B21BA0" w:rsidRPr="00190C70">
              <w:rPr>
                <w:rFonts w:cs="Arial"/>
                <w:sz w:val="24"/>
                <w:szCs w:val="24"/>
              </w:rPr>
              <w:t>SECTOR HOMOGENEO 6.11</w:t>
            </w:r>
          </w:p>
        </w:tc>
      </w:tr>
    </w:tbl>
    <w:p w:rsidR="00B21BA0" w:rsidRPr="00190C70" w:rsidRDefault="00B21BA0" w:rsidP="00B21BA0">
      <w:pPr>
        <w:jc w:val="both"/>
        <w:rPr>
          <w:rFonts w:cs="Arial"/>
          <w:sz w:val="24"/>
          <w:szCs w:val="24"/>
        </w:rPr>
      </w:pPr>
    </w:p>
    <w:p w:rsidR="00B21BA0" w:rsidRPr="00190C70" w:rsidRDefault="00B21BA0" w:rsidP="00580015">
      <w:pPr>
        <w:jc w:val="both"/>
        <w:rPr>
          <w:rFonts w:cs="Arial"/>
          <w:iCs/>
          <w:color w:val="000000" w:themeColor="text1"/>
          <w:sz w:val="24"/>
          <w:szCs w:val="24"/>
          <w:lang w:val="es-ES"/>
        </w:rPr>
      </w:pPr>
      <w:r w:rsidRPr="00190C70">
        <w:rPr>
          <w:rFonts w:cs="Arial"/>
          <w:iCs/>
          <w:color w:val="000000" w:themeColor="text1"/>
          <w:sz w:val="24"/>
          <w:szCs w:val="24"/>
          <w:lang w:val="es-ES"/>
        </w:rPr>
        <w:t xml:space="preserve">Sectores homogéneos sobre los cuales se realiza la investigación de precios de compra venta de las parcelas o solares, información que mediante un proceso de comparación de precios de condiciones similares u homogéneas, serán la base para la elaboración del plano del valor de la tierra; sobre el cual se determine el valor base por sectores homogéneos. </w:t>
      </w:r>
    </w:p>
    <w:p w:rsidR="008957CE" w:rsidRDefault="00B21BA0" w:rsidP="00580015">
      <w:pPr>
        <w:jc w:val="both"/>
        <w:rPr>
          <w:rFonts w:cs="Arial"/>
          <w:iCs/>
          <w:color w:val="000000" w:themeColor="text1"/>
          <w:sz w:val="24"/>
          <w:szCs w:val="24"/>
          <w:lang w:val="es-ES"/>
        </w:rPr>
      </w:pPr>
      <w:r w:rsidRPr="00190C70">
        <w:rPr>
          <w:rFonts w:cs="Arial"/>
          <w:iCs/>
          <w:color w:val="000000" w:themeColor="text1"/>
          <w:sz w:val="24"/>
          <w:szCs w:val="24"/>
          <w:lang w:val="es-ES"/>
        </w:rPr>
        <w:t xml:space="preserve">El valor base que consta en el plano del valor de la tierra, de acuerdo a la Normativa de valoración individual de la propiedad rural, será afectado de acuerdo al Destino Económico y Calidad del Suelo, de acuerdo al análisis de laboratorio se definirán en su orden desde la primera como la de mejores condiciones hasta la octava, la que sería de peores condiciones agrológicas. </w:t>
      </w:r>
    </w:p>
    <w:p w:rsidR="00580015" w:rsidRDefault="00580015" w:rsidP="00580015">
      <w:pPr>
        <w:jc w:val="both"/>
        <w:rPr>
          <w:rFonts w:cs="Arial"/>
          <w:iCs/>
          <w:color w:val="000000" w:themeColor="text1"/>
          <w:sz w:val="24"/>
          <w:szCs w:val="24"/>
          <w:lang w:val="es-ES"/>
        </w:rPr>
      </w:pPr>
    </w:p>
    <w:p w:rsidR="00580015" w:rsidRPr="00190C70" w:rsidRDefault="00580015" w:rsidP="00580015">
      <w:pPr>
        <w:jc w:val="both"/>
        <w:rPr>
          <w:rFonts w:cs="Arial"/>
          <w:iCs/>
          <w:color w:val="000000" w:themeColor="text1"/>
          <w:sz w:val="24"/>
          <w:szCs w:val="24"/>
          <w:lang w:val="es-ES"/>
        </w:rPr>
      </w:pPr>
    </w:p>
    <w:tbl>
      <w:tblPr>
        <w:tblW w:w="6536" w:type="dxa"/>
        <w:tblInd w:w="55" w:type="dxa"/>
        <w:tblCellMar>
          <w:left w:w="70" w:type="dxa"/>
          <w:right w:w="70" w:type="dxa"/>
        </w:tblCellMar>
        <w:tblLook w:val="04A0" w:firstRow="1" w:lastRow="0" w:firstColumn="1" w:lastColumn="0" w:noHBand="0" w:noVBand="1"/>
      </w:tblPr>
      <w:tblGrid>
        <w:gridCol w:w="4410"/>
        <w:gridCol w:w="992"/>
        <w:gridCol w:w="1134"/>
      </w:tblGrid>
      <w:tr w:rsidR="00B21BA0" w:rsidRPr="00190C70" w:rsidTr="00596159">
        <w:trPr>
          <w:trHeight w:val="255"/>
        </w:trPr>
        <w:tc>
          <w:tcPr>
            <w:tcW w:w="65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lastRenderedPageBreak/>
              <w:t xml:space="preserve">VALORACION DE TERRENO </w:t>
            </w:r>
          </w:p>
        </w:tc>
      </w:tr>
      <w:tr w:rsidR="00B21BA0" w:rsidRPr="00190C70" w:rsidTr="00596159">
        <w:trPr>
          <w:trHeight w:val="255"/>
        </w:trPr>
        <w:tc>
          <w:tcPr>
            <w:tcW w:w="65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SECTOR HOMOGENEO 3.1</w:t>
            </w:r>
          </w:p>
        </w:tc>
      </w:tr>
      <w:tr w:rsidR="00B21BA0" w:rsidRPr="00190C70" w:rsidTr="00596159">
        <w:trPr>
          <w:trHeight w:val="510"/>
        </w:trPr>
        <w:tc>
          <w:tcPr>
            <w:tcW w:w="4410" w:type="dxa"/>
            <w:tcBorders>
              <w:top w:val="nil"/>
              <w:left w:val="single" w:sz="4" w:space="0" w:color="auto"/>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DESTINO ECONOMICO</w:t>
            </w:r>
          </w:p>
        </w:tc>
        <w:tc>
          <w:tcPr>
            <w:tcW w:w="992" w:type="dxa"/>
            <w:tcBorders>
              <w:top w:val="nil"/>
              <w:left w:val="nil"/>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CLASE DE TIERRA</w:t>
            </w:r>
          </w:p>
        </w:tc>
        <w:tc>
          <w:tcPr>
            <w:tcW w:w="1134" w:type="dxa"/>
            <w:tcBorders>
              <w:top w:val="nil"/>
              <w:left w:val="nil"/>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VALOR /Ha</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16,815</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EDUCACIONAL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AGRICOLA BIOACUATICO GANADERO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GANADERO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AGRICOLA MINERO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16,851</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15,207</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10,138</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7,946</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4,932</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2,740</w:t>
            </w:r>
          </w:p>
        </w:tc>
      </w:tr>
      <w:tr w:rsidR="00B21BA0" w:rsidRPr="00190C70" w:rsidTr="00596159">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134"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1,370</w:t>
            </w:r>
          </w:p>
        </w:tc>
      </w:tr>
    </w:tbl>
    <w:p w:rsidR="00B21BA0" w:rsidRPr="00190C70" w:rsidRDefault="00B21BA0" w:rsidP="00B21BA0">
      <w:pPr>
        <w:jc w:val="both"/>
        <w:rPr>
          <w:rFonts w:cs="Arial"/>
          <w:iCs/>
          <w:color w:val="000000" w:themeColor="text1"/>
          <w:sz w:val="24"/>
          <w:szCs w:val="24"/>
          <w:lang w:val="es-ES"/>
        </w:rPr>
      </w:pPr>
    </w:p>
    <w:tbl>
      <w:tblPr>
        <w:tblW w:w="7020" w:type="dxa"/>
        <w:tblInd w:w="55" w:type="dxa"/>
        <w:tblCellMar>
          <w:left w:w="70" w:type="dxa"/>
          <w:right w:w="70" w:type="dxa"/>
        </w:tblCellMar>
        <w:tblLook w:val="04A0" w:firstRow="1" w:lastRow="0" w:firstColumn="1" w:lastColumn="0" w:noHBand="0" w:noVBand="1"/>
      </w:tblPr>
      <w:tblGrid>
        <w:gridCol w:w="4551"/>
        <w:gridCol w:w="1167"/>
        <w:gridCol w:w="1302"/>
      </w:tblGrid>
      <w:tr w:rsidR="00B21BA0" w:rsidRPr="00190C70" w:rsidTr="00BE7BF1">
        <w:trPr>
          <w:trHeight w:val="255"/>
        </w:trPr>
        <w:tc>
          <w:tcPr>
            <w:tcW w:w="70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 xml:space="preserve">VALORACION DE TERRENO </w:t>
            </w:r>
          </w:p>
        </w:tc>
      </w:tr>
      <w:tr w:rsidR="00B21BA0" w:rsidRPr="00190C70" w:rsidTr="00BE7BF1">
        <w:trPr>
          <w:trHeight w:val="255"/>
        </w:trPr>
        <w:tc>
          <w:tcPr>
            <w:tcW w:w="70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SECTOR HOMOGENEO 3.2</w:t>
            </w:r>
          </w:p>
        </w:tc>
      </w:tr>
      <w:tr w:rsidR="00B21BA0" w:rsidRPr="00190C70" w:rsidTr="00596159">
        <w:trPr>
          <w:trHeight w:val="510"/>
        </w:trPr>
        <w:tc>
          <w:tcPr>
            <w:tcW w:w="4551" w:type="dxa"/>
            <w:tcBorders>
              <w:top w:val="nil"/>
              <w:left w:val="single" w:sz="4" w:space="0" w:color="auto"/>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DESTINO ECONOMICO</w:t>
            </w:r>
          </w:p>
        </w:tc>
        <w:tc>
          <w:tcPr>
            <w:tcW w:w="1167" w:type="dxa"/>
            <w:tcBorders>
              <w:top w:val="nil"/>
              <w:left w:val="nil"/>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CLASE DE TIERRA</w:t>
            </w:r>
          </w:p>
        </w:tc>
        <w:tc>
          <w:tcPr>
            <w:tcW w:w="1302" w:type="dxa"/>
            <w:tcBorders>
              <w:top w:val="nil"/>
              <w:left w:val="nil"/>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VALOR /Ha</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AGRICOLA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SALUD</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GANADERO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GANADERO FORESTAL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AGRIC. GANAD. FOREST.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4,275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3,848</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MINERO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1,395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765</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1167"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405</w:t>
            </w:r>
          </w:p>
        </w:tc>
      </w:tr>
    </w:tbl>
    <w:p w:rsidR="00596159" w:rsidRPr="00190C70" w:rsidRDefault="00596159" w:rsidP="00B21BA0">
      <w:pPr>
        <w:jc w:val="both"/>
        <w:rPr>
          <w:rFonts w:cs="Arial"/>
          <w:iCs/>
          <w:color w:val="000000" w:themeColor="text1"/>
          <w:sz w:val="24"/>
          <w:szCs w:val="24"/>
          <w:lang w:val="es-ES"/>
        </w:rPr>
      </w:pPr>
    </w:p>
    <w:tbl>
      <w:tblPr>
        <w:tblW w:w="6536" w:type="dxa"/>
        <w:tblInd w:w="55" w:type="dxa"/>
        <w:tblCellMar>
          <w:left w:w="70" w:type="dxa"/>
          <w:right w:w="70" w:type="dxa"/>
        </w:tblCellMar>
        <w:tblLook w:val="04A0" w:firstRow="1" w:lastRow="0" w:firstColumn="1" w:lastColumn="0" w:noHBand="0" w:noVBand="1"/>
      </w:tblPr>
      <w:tblGrid>
        <w:gridCol w:w="4551"/>
        <w:gridCol w:w="993"/>
        <w:gridCol w:w="992"/>
      </w:tblGrid>
      <w:tr w:rsidR="00B21BA0" w:rsidRPr="00190C70" w:rsidTr="00596159">
        <w:trPr>
          <w:trHeight w:val="255"/>
        </w:trPr>
        <w:tc>
          <w:tcPr>
            <w:tcW w:w="65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 xml:space="preserve">VALORACION DE TERRENO </w:t>
            </w:r>
          </w:p>
        </w:tc>
      </w:tr>
      <w:tr w:rsidR="00B21BA0" w:rsidRPr="00190C70" w:rsidTr="00596159">
        <w:trPr>
          <w:trHeight w:val="255"/>
        </w:trPr>
        <w:tc>
          <w:tcPr>
            <w:tcW w:w="65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SECTOR HOMOGENEO 3.3</w:t>
            </w:r>
          </w:p>
        </w:tc>
      </w:tr>
      <w:tr w:rsidR="00B21BA0" w:rsidRPr="00190C70" w:rsidTr="00596159">
        <w:trPr>
          <w:trHeight w:val="510"/>
        </w:trPr>
        <w:tc>
          <w:tcPr>
            <w:tcW w:w="4551" w:type="dxa"/>
            <w:tcBorders>
              <w:top w:val="nil"/>
              <w:left w:val="single" w:sz="4" w:space="0" w:color="auto"/>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DESTINO ECONOMICO</w:t>
            </w:r>
          </w:p>
        </w:tc>
        <w:tc>
          <w:tcPr>
            <w:tcW w:w="993" w:type="dxa"/>
            <w:tcBorders>
              <w:top w:val="nil"/>
              <w:left w:val="nil"/>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CLASE DE TIERRA</w:t>
            </w:r>
          </w:p>
        </w:tc>
        <w:tc>
          <w:tcPr>
            <w:tcW w:w="992" w:type="dxa"/>
            <w:tcBorders>
              <w:top w:val="nil"/>
              <w:left w:val="nil"/>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VALOR /Ha</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AGRICOLA 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EDUCACIONAL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RELIGIOSO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SALUD</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MILITAR</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2,770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AGRICOLA BIOACUATICO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BIOACUATICO GANADERO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BIOACUATICA FORESTAL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FORESTAL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AGRICOLA GANADERO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GANADERO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INDUSTRIAL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 GANAD. FOREST.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FORESTAL AVICOLA</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AGRICOLA MINERO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MINERO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COMERCIAL</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596159">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 BIOACUATICO</w:t>
            </w:r>
          </w:p>
        </w:tc>
        <w:tc>
          <w:tcPr>
            <w:tcW w:w="9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99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bl>
    <w:p w:rsidR="00B21BA0" w:rsidRPr="00190C70" w:rsidRDefault="00B21BA0" w:rsidP="00B21BA0">
      <w:pPr>
        <w:jc w:val="both"/>
        <w:rPr>
          <w:rFonts w:cs="Arial"/>
          <w:iCs/>
          <w:color w:val="000000" w:themeColor="text1"/>
          <w:sz w:val="24"/>
          <w:szCs w:val="24"/>
          <w:lang w:val="es-ES"/>
        </w:rPr>
      </w:pPr>
    </w:p>
    <w:tbl>
      <w:tblPr>
        <w:tblW w:w="5640" w:type="dxa"/>
        <w:tblInd w:w="55" w:type="dxa"/>
        <w:tblCellMar>
          <w:left w:w="70" w:type="dxa"/>
          <w:right w:w="70" w:type="dxa"/>
        </w:tblCellMar>
        <w:tblLook w:val="04A0" w:firstRow="1" w:lastRow="0" w:firstColumn="1" w:lastColumn="0" w:noHBand="0" w:noVBand="1"/>
      </w:tblPr>
      <w:tblGrid>
        <w:gridCol w:w="2440"/>
        <w:gridCol w:w="2000"/>
        <w:gridCol w:w="1200"/>
      </w:tblGrid>
      <w:tr w:rsidR="00B21BA0" w:rsidRPr="00190C70" w:rsidTr="00BE7BF1">
        <w:trPr>
          <w:trHeight w:val="255"/>
        </w:trPr>
        <w:tc>
          <w:tcPr>
            <w:tcW w:w="56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 xml:space="preserve">VALORACION DE TERRENO </w:t>
            </w:r>
          </w:p>
        </w:tc>
      </w:tr>
      <w:tr w:rsidR="00B21BA0" w:rsidRPr="00190C70" w:rsidTr="00BE7BF1">
        <w:trPr>
          <w:trHeight w:val="255"/>
        </w:trPr>
        <w:tc>
          <w:tcPr>
            <w:tcW w:w="56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SECTOR HOMOGENEO 4.2</w:t>
            </w:r>
          </w:p>
        </w:tc>
      </w:tr>
      <w:tr w:rsidR="00B21BA0" w:rsidRPr="00190C70" w:rsidTr="00BE7BF1">
        <w:trPr>
          <w:trHeight w:val="510"/>
        </w:trPr>
        <w:tc>
          <w:tcPr>
            <w:tcW w:w="2440" w:type="dxa"/>
            <w:tcBorders>
              <w:top w:val="nil"/>
              <w:left w:val="single" w:sz="4" w:space="0" w:color="auto"/>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DESTINO ECONOMICO</w:t>
            </w:r>
          </w:p>
        </w:tc>
        <w:tc>
          <w:tcPr>
            <w:tcW w:w="2000" w:type="dxa"/>
            <w:tcBorders>
              <w:top w:val="nil"/>
              <w:left w:val="nil"/>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CLASE DE TIERRA</w:t>
            </w:r>
          </w:p>
        </w:tc>
        <w:tc>
          <w:tcPr>
            <w:tcW w:w="1200" w:type="dxa"/>
            <w:tcBorders>
              <w:top w:val="nil"/>
              <w:left w:val="nil"/>
              <w:bottom w:val="single" w:sz="4" w:space="0" w:color="auto"/>
              <w:right w:val="single" w:sz="4" w:space="0" w:color="auto"/>
            </w:tcBorders>
            <w:shd w:val="clear" w:color="000000" w:fill="DBE5F1"/>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VALOR /Ha</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2,720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2,440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440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AGRICOLA</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6,570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5,430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4,590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3,750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1,860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930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GANADERO</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6,570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5,430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4,590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3,750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1,860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930</w:t>
            </w:r>
          </w:p>
        </w:tc>
      </w:tr>
      <w:tr w:rsidR="00B21BA0" w:rsidRPr="00190C70" w:rsidTr="00BE7BF1">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FORESTAL</w:t>
            </w:r>
          </w:p>
        </w:tc>
        <w:tc>
          <w:tcPr>
            <w:tcW w:w="20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w:t>
            </w:r>
          </w:p>
        </w:tc>
        <w:tc>
          <w:tcPr>
            <w:tcW w:w="120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90</w:t>
            </w:r>
          </w:p>
        </w:tc>
      </w:tr>
    </w:tbl>
    <w:p w:rsidR="00B21BA0" w:rsidRPr="00190C70" w:rsidRDefault="00B21BA0" w:rsidP="00B21BA0">
      <w:pPr>
        <w:jc w:val="both"/>
        <w:rPr>
          <w:rFonts w:cs="Arial"/>
          <w:iCs/>
          <w:color w:val="000000" w:themeColor="text1"/>
          <w:sz w:val="24"/>
          <w:szCs w:val="24"/>
          <w:lang w:val="es-ES"/>
        </w:rPr>
      </w:pPr>
    </w:p>
    <w:tbl>
      <w:tblPr>
        <w:tblW w:w="8302" w:type="dxa"/>
        <w:tblInd w:w="55" w:type="dxa"/>
        <w:tblCellMar>
          <w:left w:w="70" w:type="dxa"/>
          <w:right w:w="70" w:type="dxa"/>
        </w:tblCellMar>
        <w:tblLook w:val="04A0" w:firstRow="1" w:lastRow="0" w:firstColumn="1" w:lastColumn="0" w:noHBand="0" w:noVBand="1"/>
      </w:tblPr>
      <w:tblGrid>
        <w:gridCol w:w="2004"/>
        <w:gridCol w:w="1145"/>
        <w:gridCol w:w="1486"/>
        <w:gridCol w:w="2751"/>
        <w:gridCol w:w="916"/>
      </w:tblGrid>
      <w:tr w:rsidR="00B21BA0" w:rsidRPr="00190C70" w:rsidTr="00596159">
        <w:trPr>
          <w:trHeight w:val="255"/>
        </w:trPr>
        <w:tc>
          <w:tcPr>
            <w:tcW w:w="8302" w:type="dxa"/>
            <w:gridSpan w:val="5"/>
            <w:tcBorders>
              <w:top w:val="single" w:sz="4" w:space="0" w:color="auto"/>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VALOR POR M2, DESTINO ECONOMICO Y CLASE DE TIERRA</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SEC HOMOGENEO</w:t>
            </w:r>
          </w:p>
        </w:tc>
        <w:tc>
          <w:tcPr>
            <w:tcW w:w="1145"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DESDE M2</w:t>
            </w:r>
          </w:p>
        </w:tc>
        <w:tc>
          <w:tcPr>
            <w:tcW w:w="1486"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HASTA M2</w:t>
            </w:r>
          </w:p>
        </w:tc>
        <w:tc>
          <w:tcPr>
            <w:tcW w:w="2751"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DESTINO ECONOMICO</w:t>
            </w:r>
          </w:p>
        </w:tc>
        <w:tc>
          <w:tcPr>
            <w:tcW w:w="916"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VALOR M2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3.67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3.27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1.70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1.53</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3.24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2.19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1.90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2.38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2.12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0.83</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1.95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1.74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1.53</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0.63</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1.03</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0.63</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0.53</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0.43</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0.33</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0.23</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2.33</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2.17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1.90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2.36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2.17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1.77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1.71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0.72</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0.61</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0.36</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w:t>
            </w:r>
          </w:p>
        </w:tc>
      </w:tr>
      <w:tr w:rsidR="00B21BA0" w:rsidRPr="00190C70" w:rsidTr="00596159">
        <w:trPr>
          <w:trHeight w:val="25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3.1</w:t>
            </w:r>
          </w:p>
        </w:tc>
        <w:tc>
          <w:tcPr>
            <w:tcW w:w="114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75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91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w:t>
            </w:r>
          </w:p>
        </w:tc>
      </w:tr>
    </w:tbl>
    <w:p w:rsidR="00B21BA0" w:rsidRPr="00190C70" w:rsidRDefault="00B21BA0" w:rsidP="00B21BA0">
      <w:pPr>
        <w:jc w:val="both"/>
        <w:rPr>
          <w:rFonts w:cs="Arial"/>
          <w:b/>
          <w:color w:val="000000" w:themeColor="text1"/>
          <w:sz w:val="24"/>
          <w:szCs w:val="24"/>
          <w:lang w:val="es-ES_tradnl"/>
        </w:rPr>
      </w:pPr>
    </w:p>
    <w:tbl>
      <w:tblPr>
        <w:tblW w:w="8217" w:type="dxa"/>
        <w:tblInd w:w="55" w:type="dxa"/>
        <w:tblCellMar>
          <w:left w:w="70" w:type="dxa"/>
          <w:right w:w="70" w:type="dxa"/>
        </w:tblCellMar>
        <w:tblLook w:val="04A0" w:firstRow="1" w:lastRow="0" w:firstColumn="1" w:lastColumn="0" w:noHBand="0" w:noVBand="1"/>
      </w:tblPr>
      <w:tblGrid>
        <w:gridCol w:w="2061"/>
        <w:gridCol w:w="1178"/>
        <w:gridCol w:w="1486"/>
        <w:gridCol w:w="2803"/>
        <w:gridCol w:w="827"/>
      </w:tblGrid>
      <w:tr w:rsidR="00B21BA0" w:rsidRPr="00190C70" w:rsidTr="00955B43">
        <w:trPr>
          <w:trHeight w:val="255"/>
        </w:trPr>
        <w:tc>
          <w:tcPr>
            <w:tcW w:w="8217" w:type="dxa"/>
            <w:gridSpan w:val="5"/>
            <w:tcBorders>
              <w:top w:val="single" w:sz="4" w:space="0" w:color="auto"/>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VALOR POR M2, DESTINO ECONOMICO Y CLASE DE TIERRA</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SEC HOMOGENEO</w:t>
            </w:r>
          </w:p>
        </w:tc>
        <w:tc>
          <w:tcPr>
            <w:tcW w:w="1178"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DESDE M2</w:t>
            </w:r>
          </w:p>
        </w:tc>
        <w:tc>
          <w:tcPr>
            <w:tcW w:w="1486"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HASTA M2</w:t>
            </w:r>
          </w:p>
        </w:tc>
        <w:tc>
          <w:tcPr>
            <w:tcW w:w="2803"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DESTINO ECONOMICO</w:t>
            </w:r>
          </w:p>
        </w:tc>
        <w:tc>
          <w:tcPr>
            <w:tcW w:w="689"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VALOR</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1.01</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0.91</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0.78</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0.81</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0.61</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1.58</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0.51</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0.41</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0.68</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0.51</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0.38</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0.21</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0.09</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955B43">
        <w:trPr>
          <w:trHeight w:val="255"/>
        </w:trPr>
        <w:tc>
          <w:tcPr>
            <w:tcW w:w="206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3.2</w:t>
            </w:r>
          </w:p>
        </w:tc>
        <w:tc>
          <w:tcPr>
            <w:tcW w:w="11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80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68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bl>
    <w:p w:rsidR="00B21BA0" w:rsidRPr="00190C70" w:rsidRDefault="00B21BA0" w:rsidP="00B21BA0">
      <w:pPr>
        <w:jc w:val="both"/>
        <w:rPr>
          <w:rFonts w:cs="Arial"/>
          <w:b/>
          <w:color w:val="000000" w:themeColor="text1"/>
          <w:sz w:val="24"/>
          <w:szCs w:val="24"/>
          <w:lang w:val="es-ES_tradnl"/>
        </w:rPr>
      </w:pPr>
    </w:p>
    <w:tbl>
      <w:tblPr>
        <w:tblW w:w="8101" w:type="dxa"/>
        <w:tblInd w:w="55" w:type="dxa"/>
        <w:tblCellMar>
          <w:left w:w="70" w:type="dxa"/>
          <w:right w:w="70" w:type="dxa"/>
        </w:tblCellMar>
        <w:tblLook w:val="04A0" w:firstRow="1" w:lastRow="0" w:firstColumn="1" w:lastColumn="0" w:noHBand="0" w:noVBand="1"/>
      </w:tblPr>
      <w:tblGrid>
        <w:gridCol w:w="1995"/>
        <w:gridCol w:w="1140"/>
        <w:gridCol w:w="1558"/>
        <w:gridCol w:w="2693"/>
        <w:gridCol w:w="827"/>
      </w:tblGrid>
      <w:tr w:rsidR="00B21BA0" w:rsidRPr="00190C70" w:rsidTr="00955B43">
        <w:trPr>
          <w:trHeight w:val="255"/>
        </w:trPr>
        <w:tc>
          <w:tcPr>
            <w:tcW w:w="8101" w:type="dxa"/>
            <w:gridSpan w:val="5"/>
            <w:tcBorders>
              <w:top w:val="single" w:sz="4" w:space="0" w:color="auto"/>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VALOR POR M2, DESTINO ECONOMICO Y CLASE DE TIERRA</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SEC HOMOGENEO</w:t>
            </w:r>
          </w:p>
        </w:tc>
        <w:tc>
          <w:tcPr>
            <w:tcW w:w="1140"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DESDE M2</w:t>
            </w:r>
          </w:p>
        </w:tc>
        <w:tc>
          <w:tcPr>
            <w:tcW w:w="1558"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HASTA M2</w:t>
            </w:r>
          </w:p>
        </w:tc>
        <w:tc>
          <w:tcPr>
            <w:tcW w:w="2693"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DESTINO ECONOMICO</w:t>
            </w:r>
          </w:p>
        </w:tc>
        <w:tc>
          <w:tcPr>
            <w:tcW w:w="715"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VALOR</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INDUSTRIAL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MINERO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RECREACIONAL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2.25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center"/>
              <w:rPr>
                <w:rFonts w:eastAsia="Times New Roman" w:cs="Arial"/>
                <w:color w:val="000000" w:themeColor="text1"/>
                <w:sz w:val="24"/>
                <w:szCs w:val="24"/>
              </w:rPr>
            </w:pPr>
            <w:r w:rsidRPr="00190C70">
              <w:rPr>
                <w:rFonts w:eastAsia="Times New Roman" w:cs="Arial"/>
                <w:color w:val="000000" w:themeColor="text1"/>
                <w:sz w:val="24"/>
                <w:szCs w:val="24"/>
              </w:rPr>
              <w:t>99,999.0000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COMERCIAL</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0.16</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0.09</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955B43">
        <w:trPr>
          <w:trHeight w:val="255"/>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3.3</w:t>
            </w:r>
          </w:p>
        </w:tc>
        <w:tc>
          <w:tcPr>
            <w:tcW w:w="114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55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93"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71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bl>
    <w:p w:rsidR="00B21BA0" w:rsidRDefault="00B21BA0" w:rsidP="00B21BA0">
      <w:pPr>
        <w:jc w:val="both"/>
        <w:rPr>
          <w:rFonts w:cs="Arial"/>
          <w:b/>
          <w:color w:val="000000" w:themeColor="text1"/>
          <w:sz w:val="24"/>
          <w:szCs w:val="24"/>
          <w:lang w:val="es-ES_tradnl"/>
        </w:rPr>
      </w:pPr>
    </w:p>
    <w:p w:rsidR="00D1554C" w:rsidRDefault="00D1554C" w:rsidP="00B21BA0">
      <w:pPr>
        <w:jc w:val="both"/>
        <w:rPr>
          <w:rFonts w:cs="Arial"/>
          <w:b/>
          <w:color w:val="000000" w:themeColor="text1"/>
          <w:sz w:val="24"/>
          <w:szCs w:val="24"/>
          <w:lang w:val="es-ES_tradnl"/>
        </w:rPr>
      </w:pPr>
    </w:p>
    <w:p w:rsidR="00D1554C" w:rsidRPr="00190C70" w:rsidRDefault="00D1554C" w:rsidP="00B21BA0">
      <w:pPr>
        <w:jc w:val="both"/>
        <w:rPr>
          <w:rFonts w:cs="Arial"/>
          <w:b/>
          <w:color w:val="000000" w:themeColor="text1"/>
          <w:sz w:val="24"/>
          <w:szCs w:val="24"/>
          <w:lang w:val="es-ES_tradnl"/>
        </w:rPr>
      </w:pPr>
    </w:p>
    <w:tbl>
      <w:tblPr>
        <w:tblW w:w="8187" w:type="dxa"/>
        <w:tblInd w:w="55" w:type="dxa"/>
        <w:tblCellMar>
          <w:left w:w="70" w:type="dxa"/>
          <w:right w:w="70" w:type="dxa"/>
        </w:tblCellMar>
        <w:tblLook w:val="04A0" w:firstRow="1" w:lastRow="0" w:firstColumn="1" w:lastColumn="0" w:noHBand="0" w:noVBand="1"/>
      </w:tblPr>
      <w:tblGrid>
        <w:gridCol w:w="2050"/>
        <w:gridCol w:w="1172"/>
        <w:gridCol w:w="1486"/>
        <w:gridCol w:w="2678"/>
        <w:gridCol w:w="827"/>
      </w:tblGrid>
      <w:tr w:rsidR="00B21BA0" w:rsidRPr="00190C70" w:rsidTr="00955B43">
        <w:trPr>
          <w:trHeight w:val="255"/>
        </w:trPr>
        <w:tc>
          <w:tcPr>
            <w:tcW w:w="8187" w:type="dxa"/>
            <w:gridSpan w:val="5"/>
            <w:tcBorders>
              <w:top w:val="single" w:sz="4" w:space="0" w:color="auto"/>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lastRenderedPageBreak/>
              <w:t>VALOR POR M2, DESTINO ECONOMICO Y CLASE DE TIERRA</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SEC HOMOGENEO</w:t>
            </w:r>
          </w:p>
        </w:tc>
        <w:tc>
          <w:tcPr>
            <w:tcW w:w="1172"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DESDE M2</w:t>
            </w:r>
          </w:p>
        </w:tc>
        <w:tc>
          <w:tcPr>
            <w:tcW w:w="1486"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HASTA M2</w:t>
            </w:r>
          </w:p>
        </w:tc>
        <w:tc>
          <w:tcPr>
            <w:tcW w:w="2678"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DESTINO ECONOMICO</w:t>
            </w:r>
          </w:p>
        </w:tc>
        <w:tc>
          <w:tcPr>
            <w:tcW w:w="801"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VALOR</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1.33</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0.62</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0.52</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0.43</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0.92</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0.52</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0.41</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0.33</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1.02</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0.91</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0.42</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0.33</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0.31</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0.32</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0.71</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0.63</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0.33</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0.31</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0.23</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0.21</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0.43</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0.32</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0.23</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0.31</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0.23</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0.13</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0.21</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0.09</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955B43">
        <w:trPr>
          <w:trHeight w:val="255"/>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4.2</w:t>
            </w:r>
          </w:p>
        </w:tc>
        <w:tc>
          <w:tcPr>
            <w:tcW w:w="11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267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AGRICOLA MINIFUNDIO</w:t>
            </w:r>
          </w:p>
        </w:tc>
        <w:tc>
          <w:tcPr>
            <w:tcW w:w="80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bl>
    <w:p w:rsidR="00B21BA0" w:rsidRPr="00190C70" w:rsidRDefault="00B21BA0" w:rsidP="00B21BA0">
      <w:pPr>
        <w:jc w:val="both"/>
        <w:rPr>
          <w:rFonts w:cs="Arial"/>
          <w:b/>
          <w:color w:val="000000" w:themeColor="text1"/>
          <w:sz w:val="24"/>
          <w:szCs w:val="24"/>
          <w:lang w:val="es-ES_tradnl"/>
        </w:rPr>
      </w:pPr>
    </w:p>
    <w:tbl>
      <w:tblPr>
        <w:tblW w:w="8048" w:type="dxa"/>
        <w:tblInd w:w="55" w:type="dxa"/>
        <w:tblCellMar>
          <w:left w:w="70" w:type="dxa"/>
          <w:right w:w="70" w:type="dxa"/>
        </w:tblCellMar>
        <w:tblLook w:val="04A0" w:firstRow="1" w:lastRow="0" w:firstColumn="1" w:lastColumn="0" w:noHBand="0" w:noVBand="1"/>
      </w:tblPr>
      <w:tblGrid>
        <w:gridCol w:w="2031"/>
        <w:gridCol w:w="1161"/>
        <w:gridCol w:w="1486"/>
        <w:gridCol w:w="2460"/>
        <w:gridCol w:w="910"/>
      </w:tblGrid>
      <w:tr w:rsidR="00B21BA0" w:rsidRPr="00190C70" w:rsidTr="00C939CC">
        <w:trPr>
          <w:trHeight w:val="255"/>
        </w:trPr>
        <w:tc>
          <w:tcPr>
            <w:tcW w:w="8048" w:type="dxa"/>
            <w:gridSpan w:val="5"/>
            <w:tcBorders>
              <w:top w:val="single" w:sz="4" w:space="0" w:color="auto"/>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VALOR POR M2, DESTINO ECONOMICO Y CLASE DE TIERRA</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SEC HOMOGENEO</w:t>
            </w:r>
          </w:p>
        </w:tc>
        <w:tc>
          <w:tcPr>
            <w:tcW w:w="1161"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DESDE M2</w:t>
            </w:r>
          </w:p>
        </w:tc>
        <w:tc>
          <w:tcPr>
            <w:tcW w:w="1486"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HASTA M2</w:t>
            </w:r>
          </w:p>
        </w:tc>
        <w:tc>
          <w:tcPr>
            <w:tcW w:w="2460"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DESTINO ECONOMICO</w:t>
            </w:r>
          </w:p>
        </w:tc>
        <w:tc>
          <w:tcPr>
            <w:tcW w:w="910"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VALOR</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1.70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1.35</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1.18</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0.79</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0.75</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0.71</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0.68</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0.56</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1.35</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1.19</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0.88</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0.66</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0.56</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1.17</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0.77</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0.58</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0.55</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0.52</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0.49</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0.99</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0.88</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0.76</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0.65</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0.51</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0.49</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0.46</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0.41</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0.39</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0.37</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0.90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0.81</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0.72</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0.42</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0.38</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0.36</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0.32</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0.71</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0.63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0.56</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0.49</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0.42</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0.31</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0.27</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0.51</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0.45</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0.35</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0.22</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0.19</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0.17</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0.16</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0.31</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0.28</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0.21</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0.18</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0.14</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0.13</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0.12</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C939CC">
        <w:trPr>
          <w:trHeight w:val="255"/>
        </w:trPr>
        <w:tc>
          <w:tcPr>
            <w:tcW w:w="2031"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5.2</w:t>
            </w:r>
          </w:p>
        </w:tc>
        <w:tc>
          <w:tcPr>
            <w:tcW w:w="116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4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6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91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bl>
    <w:p w:rsidR="00B21BA0" w:rsidRPr="00190C70" w:rsidRDefault="00B21BA0" w:rsidP="00B21BA0">
      <w:pPr>
        <w:jc w:val="both"/>
        <w:rPr>
          <w:rFonts w:cs="Arial"/>
          <w:b/>
          <w:color w:val="000000" w:themeColor="text1"/>
          <w:sz w:val="24"/>
          <w:szCs w:val="24"/>
          <w:lang w:val="es-ES_tradnl"/>
        </w:rPr>
      </w:pPr>
    </w:p>
    <w:tbl>
      <w:tblPr>
        <w:tblW w:w="7780" w:type="dxa"/>
        <w:tblInd w:w="55" w:type="dxa"/>
        <w:tblCellMar>
          <w:left w:w="70" w:type="dxa"/>
          <w:right w:w="70" w:type="dxa"/>
        </w:tblCellMar>
        <w:tblLook w:val="04A0" w:firstRow="1" w:lastRow="0" w:firstColumn="1" w:lastColumn="0" w:noHBand="0" w:noVBand="1"/>
      </w:tblPr>
      <w:tblGrid>
        <w:gridCol w:w="2016"/>
        <w:gridCol w:w="1152"/>
        <w:gridCol w:w="1477"/>
        <w:gridCol w:w="2441"/>
        <w:gridCol w:w="827"/>
      </w:tblGrid>
      <w:tr w:rsidR="00B21BA0" w:rsidRPr="00190C70" w:rsidTr="00BE7BF1">
        <w:trPr>
          <w:trHeight w:val="255"/>
        </w:trPr>
        <w:tc>
          <w:tcPr>
            <w:tcW w:w="7780" w:type="dxa"/>
            <w:gridSpan w:val="5"/>
            <w:tcBorders>
              <w:top w:val="single" w:sz="4" w:space="0" w:color="auto"/>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VALOR POR M2, DESTINO ECONOMICO Y CLASE DE TIERRA</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SEC HOMOGENEO</w:t>
            </w:r>
          </w:p>
        </w:tc>
        <w:tc>
          <w:tcPr>
            <w:tcW w:w="1152"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DESDE M2</w:t>
            </w:r>
          </w:p>
        </w:tc>
        <w:tc>
          <w:tcPr>
            <w:tcW w:w="1372"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HASTA M2</w:t>
            </w:r>
          </w:p>
        </w:tc>
        <w:tc>
          <w:tcPr>
            <w:tcW w:w="2441"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DESTINO ECONOMICO</w:t>
            </w:r>
          </w:p>
        </w:tc>
        <w:tc>
          <w:tcPr>
            <w:tcW w:w="799" w:type="dxa"/>
            <w:tcBorders>
              <w:top w:val="nil"/>
              <w:left w:val="nil"/>
              <w:bottom w:val="single" w:sz="4" w:space="0" w:color="auto"/>
              <w:right w:val="single" w:sz="4" w:space="0" w:color="auto"/>
            </w:tcBorders>
            <w:shd w:val="clear" w:color="000000" w:fill="DBE5F1"/>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t>VALOR</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0.09</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0.09</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0.40</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0.09</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0.08</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0.07</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0.06</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0.04</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0.03</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0.0000</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0.02</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0.2501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0.5001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r w:rsidR="00B21BA0" w:rsidRPr="00190C70" w:rsidTr="00BE7BF1">
        <w:trPr>
          <w:trHeight w:val="255"/>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SEC. HOMOG 6.1</w:t>
            </w:r>
          </w:p>
        </w:tc>
        <w:tc>
          <w:tcPr>
            <w:tcW w:w="115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500.0001</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999,999.0000</w:t>
            </w:r>
          </w:p>
        </w:tc>
        <w:tc>
          <w:tcPr>
            <w:tcW w:w="244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HABITACIONAL</w:t>
            </w:r>
          </w:p>
        </w:tc>
        <w:tc>
          <w:tcPr>
            <w:tcW w:w="79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0.01</w:t>
            </w:r>
          </w:p>
        </w:tc>
      </w:tr>
    </w:tbl>
    <w:p w:rsidR="00B21BA0" w:rsidRPr="00190C70" w:rsidRDefault="00B21BA0" w:rsidP="00B21BA0">
      <w:pPr>
        <w:jc w:val="both"/>
        <w:rPr>
          <w:rFonts w:cs="Arial"/>
          <w:iCs/>
          <w:color w:val="000000" w:themeColor="text1"/>
          <w:sz w:val="24"/>
          <w:szCs w:val="24"/>
          <w:lang w:val="es-ES"/>
        </w:rPr>
      </w:pPr>
    </w:p>
    <w:p w:rsidR="00B21BA0" w:rsidRPr="00190C70" w:rsidRDefault="00B21BA0" w:rsidP="001B0AFF">
      <w:pPr>
        <w:jc w:val="both"/>
        <w:rPr>
          <w:rFonts w:cs="Arial"/>
          <w:iCs/>
          <w:sz w:val="24"/>
          <w:szCs w:val="24"/>
          <w:lang w:val="es-ES"/>
        </w:rPr>
      </w:pPr>
      <w:r w:rsidRPr="00190C70">
        <w:rPr>
          <w:rFonts w:cs="Arial"/>
          <w:iCs/>
          <w:sz w:val="24"/>
          <w:szCs w:val="24"/>
          <w:lang w:val="es-ES"/>
        </w:rPr>
        <w:lastRenderedPageBreak/>
        <w:t>Las particularidades físicas de cada terreno o predio, de acuerdo a su implantación en el área rural, en la realidad del territorio de cada propiedad dan la posibilidad de múltiples enlaces entre variables e indicadores, los que representan al estado actual del predio, condiciones con las que permite realizar su valoración individual.</w:t>
      </w:r>
    </w:p>
    <w:p w:rsidR="00B21BA0" w:rsidRPr="00190C70" w:rsidRDefault="00B21BA0" w:rsidP="001B0AFF">
      <w:pPr>
        <w:jc w:val="both"/>
        <w:rPr>
          <w:rFonts w:cs="Arial"/>
          <w:iCs/>
          <w:sz w:val="24"/>
          <w:szCs w:val="24"/>
          <w:lang w:val="es-ES"/>
        </w:rPr>
      </w:pPr>
      <w:r w:rsidRPr="00190C70">
        <w:rPr>
          <w:rFonts w:cs="Arial"/>
          <w:iCs/>
          <w:sz w:val="24"/>
          <w:szCs w:val="24"/>
          <w:lang w:val="es-ES"/>
        </w:rPr>
        <w:t xml:space="preserve">Por lo que el valor individual del terreno está dado: por el valor por Hectárea de sector homogéneo identificado en la propiedad y localizado en el plano del valor de la tierra, multiplicado por los factores de afectación de: calidad del suelo, topografía, forma y superficie, resultado que se multiplica por la superficie del predio para obtener el valor individual del terreno. </w:t>
      </w:r>
    </w:p>
    <w:p w:rsidR="00B21BA0" w:rsidRPr="00190C70" w:rsidRDefault="00B21BA0" w:rsidP="001B0AFF">
      <w:pPr>
        <w:jc w:val="both"/>
        <w:rPr>
          <w:rFonts w:cs="Arial"/>
          <w:iCs/>
          <w:sz w:val="24"/>
          <w:szCs w:val="24"/>
          <w:lang w:val="es-ES"/>
        </w:rPr>
      </w:pPr>
      <w:r w:rsidRPr="00190C70">
        <w:rPr>
          <w:rFonts w:cs="Arial"/>
          <w:iCs/>
          <w:sz w:val="24"/>
          <w:szCs w:val="24"/>
          <w:lang w:val="es-ES"/>
        </w:rPr>
        <w:t>Para proceder al cálculo individual del valor del terreno de cada predio se aplicará los siguientes criterios: Valor de terreno = Valor base x factores  de afectación de aumento o reducción x Superficie así:</w:t>
      </w:r>
    </w:p>
    <w:p w:rsidR="00B21BA0" w:rsidRPr="00190C70" w:rsidRDefault="00B21BA0" w:rsidP="00B21BA0">
      <w:pPr>
        <w:jc w:val="both"/>
        <w:rPr>
          <w:rFonts w:cs="Arial"/>
          <w:color w:val="000000" w:themeColor="text1"/>
          <w:sz w:val="24"/>
          <w:szCs w:val="24"/>
          <w:lang w:val="es-ES"/>
        </w:rPr>
      </w:pPr>
      <w:r w:rsidRPr="00190C70">
        <w:rPr>
          <w:rFonts w:cs="Arial"/>
          <w:iCs/>
          <w:color w:val="000000" w:themeColor="text1"/>
          <w:sz w:val="24"/>
          <w:szCs w:val="24"/>
          <w:lang w:val="es-ES"/>
        </w:rPr>
        <w:t>Valoración individual del terreno</w:t>
      </w:r>
      <w:r w:rsidRPr="00190C70">
        <w:rPr>
          <w:rFonts w:cs="Arial"/>
          <w:color w:val="000000" w:themeColor="text1"/>
          <w:sz w:val="24"/>
          <w:szCs w:val="24"/>
          <w:lang w:val="es-ES"/>
        </w:rPr>
        <w:t xml:space="preserve"> </w:t>
      </w:r>
    </w:p>
    <w:p w:rsidR="00B21BA0" w:rsidRPr="00190C70" w:rsidRDefault="00B21BA0" w:rsidP="00DE2DAD">
      <w:pPr>
        <w:pStyle w:val="Sangradetextonormal"/>
        <w:spacing w:line="240" w:lineRule="auto"/>
        <w:rPr>
          <w:rFonts w:cs="Arial"/>
          <w:b/>
          <w:color w:val="000000" w:themeColor="text1"/>
          <w:sz w:val="24"/>
          <w:szCs w:val="24"/>
        </w:rPr>
      </w:pPr>
      <w:r w:rsidRPr="00190C70">
        <w:rPr>
          <w:rFonts w:cs="Arial"/>
          <w:b/>
          <w:color w:val="000000" w:themeColor="text1"/>
          <w:sz w:val="24"/>
          <w:szCs w:val="24"/>
        </w:rPr>
        <w:t xml:space="preserve">VI = S x </w:t>
      </w:r>
      <w:proofErr w:type="spellStart"/>
      <w:r w:rsidRPr="00190C70">
        <w:rPr>
          <w:rFonts w:cs="Arial"/>
          <w:b/>
          <w:color w:val="000000" w:themeColor="text1"/>
          <w:sz w:val="24"/>
          <w:szCs w:val="24"/>
        </w:rPr>
        <w:t>Vsh</w:t>
      </w:r>
      <w:proofErr w:type="spellEnd"/>
      <w:r w:rsidRPr="00190C70">
        <w:rPr>
          <w:rFonts w:cs="Arial"/>
          <w:b/>
          <w:color w:val="000000" w:themeColor="text1"/>
          <w:sz w:val="24"/>
          <w:szCs w:val="24"/>
        </w:rPr>
        <w:t xml:space="preserve"> </w:t>
      </w:r>
    </w:p>
    <w:p w:rsidR="00B21BA0" w:rsidRPr="00190C70" w:rsidRDefault="00B21BA0" w:rsidP="00DE2DAD">
      <w:pPr>
        <w:pStyle w:val="Sangradetextonormal"/>
        <w:spacing w:line="240" w:lineRule="auto"/>
        <w:rPr>
          <w:rFonts w:cs="Arial"/>
          <w:color w:val="000000" w:themeColor="text1"/>
          <w:sz w:val="24"/>
          <w:szCs w:val="24"/>
          <w:lang w:val="es-ES"/>
        </w:rPr>
      </w:pPr>
      <w:r w:rsidRPr="00190C70">
        <w:rPr>
          <w:rFonts w:cs="Arial"/>
          <w:color w:val="000000" w:themeColor="text1"/>
          <w:sz w:val="24"/>
          <w:szCs w:val="24"/>
          <w:lang w:val="es-ES"/>
        </w:rPr>
        <w:t>Dónde:</w:t>
      </w:r>
    </w:p>
    <w:p w:rsidR="00B21BA0" w:rsidRPr="00190C70" w:rsidRDefault="00B21BA0" w:rsidP="00DE2DAD">
      <w:pPr>
        <w:pStyle w:val="Sangradetextonormal"/>
        <w:spacing w:line="240" w:lineRule="auto"/>
        <w:rPr>
          <w:rFonts w:cs="Arial"/>
          <w:color w:val="000000" w:themeColor="text1"/>
          <w:sz w:val="24"/>
          <w:szCs w:val="24"/>
          <w:lang w:val="es-ES"/>
        </w:rPr>
      </w:pPr>
      <w:r w:rsidRPr="00190C70">
        <w:rPr>
          <w:rFonts w:cs="Arial"/>
          <w:color w:val="000000" w:themeColor="text1"/>
          <w:sz w:val="24"/>
          <w:szCs w:val="24"/>
          <w:lang w:val="es-ES"/>
        </w:rPr>
        <w:t>VI = VALOR INDIVIDUAL DEL TERRENO</w:t>
      </w:r>
    </w:p>
    <w:p w:rsidR="00B21BA0" w:rsidRPr="00190C70" w:rsidRDefault="00B21BA0" w:rsidP="00DE2DAD">
      <w:pPr>
        <w:pStyle w:val="Sangradetextonormal"/>
        <w:spacing w:line="240" w:lineRule="auto"/>
        <w:rPr>
          <w:rFonts w:cs="Arial"/>
          <w:color w:val="000000" w:themeColor="text1"/>
          <w:sz w:val="24"/>
          <w:szCs w:val="24"/>
          <w:lang w:val="es-ES"/>
        </w:rPr>
      </w:pPr>
      <w:r w:rsidRPr="00190C70">
        <w:rPr>
          <w:rFonts w:cs="Arial"/>
          <w:color w:val="000000" w:themeColor="text1"/>
          <w:sz w:val="24"/>
          <w:szCs w:val="24"/>
          <w:lang w:val="es-ES"/>
        </w:rPr>
        <w:t>S = SUPERFICIE DEL TERRENO</w:t>
      </w:r>
    </w:p>
    <w:p w:rsidR="00B21BA0" w:rsidRPr="00190C70" w:rsidRDefault="00B21BA0" w:rsidP="00DE2DAD">
      <w:pPr>
        <w:pStyle w:val="Sangradetextonormal"/>
        <w:spacing w:line="240" w:lineRule="auto"/>
        <w:rPr>
          <w:rFonts w:cs="Arial"/>
          <w:color w:val="000000" w:themeColor="text1"/>
          <w:sz w:val="24"/>
          <w:szCs w:val="24"/>
          <w:lang w:val="es-ES"/>
        </w:rPr>
      </w:pPr>
      <w:proofErr w:type="spellStart"/>
      <w:r w:rsidRPr="00190C70">
        <w:rPr>
          <w:rFonts w:cs="Arial"/>
          <w:color w:val="000000" w:themeColor="text1"/>
          <w:sz w:val="24"/>
          <w:szCs w:val="24"/>
          <w:lang w:val="es-ES"/>
        </w:rPr>
        <w:t>Vsh</w:t>
      </w:r>
      <w:proofErr w:type="spellEnd"/>
      <w:r w:rsidRPr="00190C70">
        <w:rPr>
          <w:rFonts w:cs="Arial"/>
          <w:color w:val="000000" w:themeColor="text1"/>
          <w:sz w:val="24"/>
          <w:szCs w:val="24"/>
          <w:lang w:val="es-ES"/>
        </w:rPr>
        <w:t xml:space="preserve"> = VALOR DE SECTOR HOMOGENEO</w:t>
      </w:r>
    </w:p>
    <w:p w:rsidR="008957CE" w:rsidRPr="00190C70" w:rsidRDefault="00B21BA0" w:rsidP="00B21BA0">
      <w:pPr>
        <w:jc w:val="both"/>
        <w:rPr>
          <w:rFonts w:cs="Arial"/>
          <w:iCs/>
          <w:color w:val="000000" w:themeColor="text1"/>
          <w:sz w:val="24"/>
          <w:szCs w:val="24"/>
          <w:lang w:val="es-ES"/>
        </w:rPr>
      </w:pPr>
      <w:r w:rsidRPr="00190C70">
        <w:rPr>
          <w:rFonts w:cs="Arial"/>
          <w:b/>
          <w:iCs/>
          <w:color w:val="000000" w:themeColor="text1"/>
          <w:sz w:val="24"/>
          <w:szCs w:val="24"/>
          <w:lang w:val="es-ES"/>
        </w:rPr>
        <w:t>b.-) Valor de edificaciones</w:t>
      </w:r>
      <w:r w:rsidR="00DE2DAD">
        <w:rPr>
          <w:rFonts w:cs="Arial"/>
          <w:b/>
          <w:iCs/>
          <w:color w:val="000000" w:themeColor="text1"/>
          <w:sz w:val="24"/>
          <w:szCs w:val="24"/>
          <w:lang w:val="es-ES"/>
        </w:rPr>
        <w:t>.-</w:t>
      </w:r>
      <w:r w:rsidRPr="00190C70">
        <w:rPr>
          <w:rFonts w:cs="Arial"/>
          <w:b/>
          <w:iCs/>
          <w:color w:val="000000" w:themeColor="text1"/>
          <w:sz w:val="24"/>
          <w:szCs w:val="24"/>
          <w:lang w:val="es-ES"/>
        </w:rPr>
        <w:t xml:space="preserve"> </w:t>
      </w:r>
      <w:r w:rsidRPr="00190C70">
        <w:rPr>
          <w:rFonts w:cs="Arial"/>
          <w:iCs/>
          <w:color w:val="000000" w:themeColor="text1"/>
          <w:sz w:val="24"/>
          <w:szCs w:val="24"/>
          <w:lang w:val="es-ES"/>
        </w:rPr>
        <w:t>Para determinar el valor de la construcción se utiliza la siguiente formula:</w:t>
      </w:r>
    </w:p>
    <w:p w:rsidR="00B21BA0" w:rsidRPr="00190C70" w:rsidRDefault="00B21BA0" w:rsidP="00DE2DAD">
      <w:pPr>
        <w:pStyle w:val="Sangradetextonormal"/>
        <w:spacing w:line="240" w:lineRule="auto"/>
        <w:rPr>
          <w:rFonts w:cs="Arial"/>
          <w:b/>
          <w:color w:val="000000" w:themeColor="text1"/>
          <w:sz w:val="24"/>
          <w:szCs w:val="24"/>
        </w:rPr>
      </w:pPr>
      <w:r w:rsidRPr="00190C70">
        <w:rPr>
          <w:rFonts w:cs="Arial"/>
          <w:b/>
          <w:color w:val="000000" w:themeColor="text1"/>
          <w:sz w:val="24"/>
          <w:szCs w:val="24"/>
        </w:rPr>
        <w:t xml:space="preserve">VC = S x Vm2 </w:t>
      </w:r>
    </w:p>
    <w:p w:rsidR="00B21BA0" w:rsidRPr="00190C70" w:rsidRDefault="00B21BA0" w:rsidP="00DE2DAD">
      <w:pPr>
        <w:pStyle w:val="Sangradetextonormal"/>
        <w:spacing w:line="240" w:lineRule="auto"/>
        <w:rPr>
          <w:rFonts w:cs="Arial"/>
          <w:color w:val="000000" w:themeColor="text1"/>
          <w:sz w:val="24"/>
          <w:szCs w:val="24"/>
          <w:lang w:val="es-ES"/>
        </w:rPr>
      </w:pPr>
      <w:r w:rsidRPr="00190C70">
        <w:rPr>
          <w:rFonts w:cs="Arial"/>
          <w:color w:val="000000" w:themeColor="text1"/>
          <w:sz w:val="24"/>
          <w:szCs w:val="24"/>
          <w:lang w:val="es-ES"/>
        </w:rPr>
        <w:t>Dónde:</w:t>
      </w:r>
    </w:p>
    <w:p w:rsidR="00B21BA0" w:rsidRPr="00190C70" w:rsidRDefault="00B21BA0" w:rsidP="00DE2DAD">
      <w:pPr>
        <w:spacing w:line="240" w:lineRule="auto"/>
        <w:jc w:val="both"/>
        <w:rPr>
          <w:rFonts w:cs="Arial"/>
          <w:color w:val="000000" w:themeColor="text1"/>
          <w:sz w:val="24"/>
          <w:szCs w:val="24"/>
        </w:rPr>
      </w:pPr>
      <w:r w:rsidRPr="00190C70">
        <w:rPr>
          <w:rFonts w:cs="Arial"/>
          <w:color w:val="000000" w:themeColor="text1"/>
          <w:sz w:val="24"/>
          <w:szCs w:val="24"/>
        </w:rPr>
        <w:t>VC = Valor de Construcción</w:t>
      </w:r>
    </w:p>
    <w:p w:rsidR="00DE2DAD" w:rsidRPr="00190C70" w:rsidRDefault="00B21BA0" w:rsidP="00DE2DAD">
      <w:pPr>
        <w:spacing w:line="240" w:lineRule="auto"/>
        <w:jc w:val="both"/>
        <w:rPr>
          <w:rFonts w:cs="Arial"/>
          <w:color w:val="000000" w:themeColor="text1"/>
          <w:sz w:val="24"/>
          <w:szCs w:val="24"/>
        </w:rPr>
      </w:pPr>
      <w:r w:rsidRPr="00190C70">
        <w:rPr>
          <w:rFonts w:cs="Arial"/>
          <w:color w:val="000000" w:themeColor="text1"/>
          <w:sz w:val="24"/>
          <w:szCs w:val="24"/>
        </w:rPr>
        <w:t>Vm2 = Valor de tabla incluido coeficientes de depreciación</w:t>
      </w:r>
    </w:p>
    <w:p w:rsidR="00B21BA0" w:rsidRDefault="008957CE" w:rsidP="00DE2DAD">
      <w:pPr>
        <w:spacing w:line="240" w:lineRule="auto"/>
        <w:jc w:val="both"/>
        <w:rPr>
          <w:rFonts w:cs="Arial"/>
          <w:color w:val="000000" w:themeColor="text1"/>
          <w:sz w:val="24"/>
          <w:szCs w:val="24"/>
        </w:rPr>
      </w:pPr>
      <w:r w:rsidRPr="00190C70">
        <w:rPr>
          <w:rFonts w:cs="Arial"/>
          <w:color w:val="000000" w:themeColor="text1"/>
          <w:sz w:val="24"/>
          <w:szCs w:val="24"/>
        </w:rPr>
        <w:t>S = Superficie  por piso</w:t>
      </w:r>
    </w:p>
    <w:p w:rsidR="00DE2DAD" w:rsidRPr="00190C70" w:rsidRDefault="00DE2DAD" w:rsidP="00DE2DAD">
      <w:pPr>
        <w:spacing w:line="240" w:lineRule="auto"/>
        <w:jc w:val="both"/>
        <w:rPr>
          <w:rFonts w:cs="Arial"/>
          <w:color w:val="000000" w:themeColor="text1"/>
          <w:sz w:val="24"/>
          <w:szCs w:val="24"/>
        </w:rPr>
      </w:pPr>
    </w:p>
    <w:tbl>
      <w:tblPr>
        <w:tblW w:w="9796" w:type="dxa"/>
        <w:tblInd w:w="55" w:type="dxa"/>
        <w:tblLayout w:type="fixed"/>
        <w:tblCellMar>
          <w:left w:w="70" w:type="dxa"/>
          <w:right w:w="70" w:type="dxa"/>
        </w:tblCellMar>
        <w:tblLook w:val="04A0" w:firstRow="1" w:lastRow="0" w:firstColumn="1" w:lastColumn="0" w:noHBand="0" w:noVBand="1"/>
      </w:tblPr>
      <w:tblGrid>
        <w:gridCol w:w="1575"/>
        <w:gridCol w:w="1321"/>
        <w:gridCol w:w="1372"/>
        <w:gridCol w:w="998"/>
        <w:gridCol w:w="986"/>
        <w:gridCol w:w="739"/>
        <w:gridCol w:w="1030"/>
        <w:gridCol w:w="880"/>
        <w:gridCol w:w="895"/>
      </w:tblGrid>
      <w:tr w:rsidR="00B21BA0" w:rsidRPr="00190C70" w:rsidTr="00E35ECE">
        <w:trPr>
          <w:trHeight w:val="255"/>
        </w:trPr>
        <w:tc>
          <w:tcPr>
            <w:tcW w:w="5266" w:type="dxa"/>
            <w:gridSpan w:val="4"/>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b/>
                <w:bCs/>
                <w:color w:val="000000" w:themeColor="text1"/>
                <w:sz w:val="24"/>
                <w:szCs w:val="24"/>
              </w:rPr>
            </w:pPr>
            <w:r w:rsidRPr="00190C70">
              <w:rPr>
                <w:rFonts w:eastAsia="Times New Roman" w:cs="Arial"/>
                <w:b/>
                <w:bCs/>
                <w:color w:val="000000" w:themeColor="text1"/>
                <w:sz w:val="24"/>
                <w:szCs w:val="24"/>
              </w:rPr>
              <w:lastRenderedPageBreak/>
              <w:t>MODELO DE VALORACION DE LA CONSTRUCCIÓN</w:t>
            </w:r>
          </w:p>
        </w:tc>
        <w:tc>
          <w:tcPr>
            <w:tcW w:w="986"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739"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1030"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880"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895"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r>
      <w:tr w:rsidR="00B21BA0" w:rsidRPr="00190C70" w:rsidTr="00E35ECE">
        <w:trPr>
          <w:trHeight w:val="255"/>
        </w:trPr>
        <w:tc>
          <w:tcPr>
            <w:tcW w:w="1575"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1321"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1372"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998"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986"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739"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1030"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880"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c>
          <w:tcPr>
            <w:tcW w:w="895" w:type="dxa"/>
            <w:tcBorders>
              <w:top w:val="nil"/>
              <w:left w:val="nil"/>
              <w:bottom w:val="nil"/>
              <w:right w:val="nil"/>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p>
        </w:tc>
      </w:tr>
      <w:tr w:rsidR="00B21BA0" w:rsidRPr="00190C70" w:rsidTr="00E35ECE">
        <w:trPr>
          <w:trHeight w:val="480"/>
        </w:trPr>
        <w:tc>
          <w:tcPr>
            <w:tcW w:w="1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ESTRUCTURA</w:t>
            </w:r>
          </w:p>
        </w:tc>
        <w:tc>
          <w:tcPr>
            <w:tcW w:w="1321" w:type="dxa"/>
            <w:tcBorders>
              <w:top w:val="single" w:sz="4" w:space="0" w:color="auto"/>
              <w:left w:val="nil"/>
              <w:bottom w:val="single" w:sz="4" w:space="0" w:color="auto"/>
              <w:right w:val="single" w:sz="4" w:space="0" w:color="auto"/>
            </w:tcBorders>
            <w:shd w:val="clear" w:color="auto" w:fill="auto"/>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PAREDES</w:t>
            </w:r>
          </w:p>
        </w:tc>
        <w:tc>
          <w:tcPr>
            <w:tcW w:w="1372" w:type="dxa"/>
            <w:tcBorders>
              <w:top w:val="single" w:sz="4" w:space="0" w:color="auto"/>
              <w:left w:val="nil"/>
              <w:bottom w:val="single" w:sz="4" w:space="0" w:color="auto"/>
              <w:right w:val="single" w:sz="4" w:space="0" w:color="auto"/>
            </w:tcBorders>
            <w:shd w:val="clear" w:color="auto" w:fill="auto"/>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CUBIERTA</w:t>
            </w:r>
          </w:p>
        </w:tc>
        <w:tc>
          <w:tcPr>
            <w:tcW w:w="998" w:type="dxa"/>
            <w:tcBorders>
              <w:top w:val="single" w:sz="4" w:space="0" w:color="auto"/>
              <w:left w:val="nil"/>
              <w:bottom w:val="single" w:sz="4" w:space="0" w:color="auto"/>
              <w:right w:val="single" w:sz="4" w:space="0" w:color="auto"/>
            </w:tcBorders>
            <w:shd w:val="clear" w:color="auto" w:fill="auto"/>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VAL ACTUAL</w:t>
            </w:r>
          </w:p>
        </w:tc>
        <w:tc>
          <w:tcPr>
            <w:tcW w:w="986" w:type="dxa"/>
            <w:tcBorders>
              <w:top w:val="single" w:sz="4" w:space="0" w:color="auto"/>
              <w:left w:val="nil"/>
              <w:bottom w:val="single" w:sz="4" w:space="0" w:color="auto"/>
              <w:right w:val="single" w:sz="4" w:space="0" w:color="auto"/>
            </w:tcBorders>
            <w:shd w:val="clear" w:color="auto" w:fill="auto"/>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MUY BUENO</w:t>
            </w:r>
          </w:p>
        </w:tc>
        <w:tc>
          <w:tcPr>
            <w:tcW w:w="739" w:type="dxa"/>
            <w:tcBorders>
              <w:top w:val="single" w:sz="4" w:space="0" w:color="auto"/>
              <w:left w:val="nil"/>
              <w:bottom w:val="single" w:sz="4" w:space="0" w:color="auto"/>
              <w:right w:val="single" w:sz="4" w:space="0" w:color="auto"/>
            </w:tcBorders>
            <w:shd w:val="clear" w:color="auto" w:fill="auto"/>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BUENO</w:t>
            </w:r>
          </w:p>
        </w:tc>
        <w:tc>
          <w:tcPr>
            <w:tcW w:w="1030" w:type="dxa"/>
            <w:tcBorders>
              <w:top w:val="single" w:sz="4" w:space="0" w:color="auto"/>
              <w:left w:val="nil"/>
              <w:bottom w:val="single" w:sz="4" w:space="0" w:color="auto"/>
              <w:right w:val="single" w:sz="4" w:space="0" w:color="auto"/>
            </w:tcBorders>
            <w:shd w:val="clear" w:color="auto" w:fill="auto"/>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REGULAR</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MALO</w:t>
            </w:r>
          </w:p>
        </w:tc>
        <w:tc>
          <w:tcPr>
            <w:tcW w:w="895" w:type="dxa"/>
            <w:tcBorders>
              <w:top w:val="single" w:sz="4" w:space="0" w:color="auto"/>
              <w:left w:val="nil"/>
              <w:bottom w:val="single" w:sz="4" w:space="0" w:color="auto"/>
              <w:right w:val="single" w:sz="4" w:space="0" w:color="auto"/>
            </w:tcBorders>
            <w:shd w:val="clear" w:color="auto" w:fill="auto"/>
            <w:vAlign w:val="center"/>
            <w:hideMark/>
          </w:tcPr>
          <w:p w:rsidR="00B21BA0" w:rsidRPr="00190C70" w:rsidRDefault="00B21BA0" w:rsidP="00BE7BF1">
            <w:pPr>
              <w:spacing w:after="0" w:line="240" w:lineRule="auto"/>
              <w:jc w:val="center"/>
              <w:rPr>
                <w:rFonts w:eastAsia="Times New Roman" w:cs="Arial"/>
                <w:b/>
                <w:bCs/>
                <w:color w:val="000000" w:themeColor="text1"/>
                <w:sz w:val="24"/>
                <w:szCs w:val="24"/>
              </w:rPr>
            </w:pPr>
            <w:r w:rsidRPr="00190C70">
              <w:rPr>
                <w:rFonts w:eastAsia="Times New Roman" w:cs="Arial"/>
                <w:b/>
                <w:bCs/>
                <w:color w:val="000000" w:themeColor="text1"/>
                <w:sz w:val="24"/>
                <w:szCs w:val="24"/>
              </w:rPr>
              <w:t>OBSO LETO</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CADY</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ZINC</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48.00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32.00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ETERNIT</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35.00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21.00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3.50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LADRILLO                      </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ZINC</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85.00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35.00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LADRILLO                      </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ETERNIT</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64.00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48.00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32.00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ADOBE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TEJA</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ZINC</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85.00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35.00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ETERNIT</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85.00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35.00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POLIETILENO</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POLIETILENO</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LADRILLO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LADRILLO                      </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ZING</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35.00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21.00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3.50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LADRILLO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LADRILLO                      </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TEJA</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32.00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LADRILLO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LADRILLO                      </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ETERNIT</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45.00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38.00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27.00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HORMIGON ARMADO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ZINC</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95.00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75.00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HORMIGON ARMADO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MADERA</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ETERNIT</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HORMIGON ARMADO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LADRILLO                      </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ZINC</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HORMIGON ARMADO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LADRILLO                      </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LOZA</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190.00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45.00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HORMIGON ARMADO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LADRILLO                      </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ETERNIT</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190.00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115.00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75.00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HORMIGON ARMADO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ZINC</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175.00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105.00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HORMIGON ARMADO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LOZA</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HORMIGON ARMADO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ETERNIT</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145.00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HIERRO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LADRILLO                      </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ZINC</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65.00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45.00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HIERRO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 xml:space="preserve">LADRILLO                      </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ETERNIT</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105.00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75.00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HIERRO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ZINC</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105.00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60.00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lastRenderedPageBreak/>
              <w:t>HIERRO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ETERNIT</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110.00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90.00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70.00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45.00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HIERRO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POLIETILENO</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POLIETILENO</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8.00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5.00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ADOBE</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ADOBE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PAJA</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TAPIA</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TAPIA</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PAJA</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13.00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TAPIA</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TAPIA</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TEJA</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25.00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15.00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ZING</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18.00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12.00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TEJA</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35.00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28.00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21.00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3.50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BLOQUE</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ETERNIT</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32.00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16.00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4.00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r w:rsidR="00B21BA0" w:rsidRPr="00190C70" w:rsidTr="00E35ECE">
        <w:trPr>
          <w:trHeight w:val="25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ALUMINIO</w:t>
            </w:r>
          </w:p>
        </w:tc>
        <w:tc>
          <w:tcPr>
            <w:tcW w:w="1321"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POLIETILENO</w:t>
            </w:r>
          </w:p>
        </w:tc>
        <w:tc>
          <w:tcPr>
            <w:tcW w:w="1372"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rPr>
                <w:rFonts w:eastAsia="Times New Roman" w:cs="Arial"/>
                <w:color w:val="000000" w:themeColor="text1"/>
                <w:sz w:val="24"/>
                <w:szCs w:val="24"/>
              </w:rPr>
            </w:pPr>
            <w:r w:rsidRPr="00190C70">
              <w:rPr>
                <w:rFonts w:eastAsia="Times New Roman" w:cs="Arial"/>
                <w:color w:val="000000" w:themeColor="text1"/>
                <w:sz w:val="24"/>
                <w:szCs w:val="24"/>
              </w:rPr>
              <w:t>POLIETILENO</w:t>
            </w:r>
          </w:p>
        </w:tc>
        <w:tc>
          <w:tcPr>
            <w:tcW w:w="998"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24.00</w:t>
            </w:r>
          </w:p>
        </w:tc>
        <w:tc>
          <w:tcPr>
            <w:tcW w:w="986"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20.00</w:t>
            </w:r>
          </w:p>
        </w:tc>
        <w:tc>
          <w:tcPr>
            <w:tcW w:w="739"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14.00</w:t>
            </w:r>
          </w:p>
        </w:tc>
        <w:tc>
          <w:tcPr>
            <w:tcW w:w="103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10.00</w:t>
            </w:r>
          </w:p>
        </w:tc>
        <w:tc>
          <w:tcPr>
            <w:tcW w:w="880"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3.00</w:t>
            </w:r>
          </w:p>
        </w:tc>
        <w:tc>
          <w:tcPr>
            <w:tcW w:w="895" w:type="dxa"/>
            <w:tcBorders>
              <w:top w:val="nil"/>
              <w:left w:val="nil"/>
              <w:bottom w:val="single" w:sz="4" w:space="0" w:color="auto"/>
              <w:right w:val="single" w:sz="4" w:space="0" w:color="auto"/>
            </w:tcBorders>
            <w:shd w:val="clear" w:color="auto" w:fill="auto"/>
            <w:noWrap/>
            <w:vAlign w:val="bottom"/>
            <w:hideMark/>
          </w:tcPr>
          <w:p w:rsidR="00B21BA0" w:rsidRPr="00190C70" w:rsidRDefault="00B21BA0" w:rsidP="00BE7BF1">
            <w:pPr>
              <w:spacing w:after="0" w:line="240" w:lineRule="auto"/>
              <w:jc w:val="right"/>
              <w:rPr>
                <w:rFonts w:eastAsia="Times New Roman" w:cs="Arial"/>
                <w:color w:val="000000" w:themeColor="text1"/>
                <w:sz w:val="24"/>
                <w:szCs w:val="24"/>
              </w:rPr>
            </w:pPr>
            <w:r w:rsidRPr="00190C70">
              <w:rPr>
                <w:rFonts w:eastAsia="Times New Roman" w:cs="Arial"/>
                <w:color w:val="000000" w:themeColor="text1"/>
                <w:sz w:val="24"/>
                <w:szCs w:val="24"/>
              </w:rPr>
              <w:t>0.10</w:t>
            </w:r>
          </w:p>
        </w:tc>
      </w:tr>
    </w:tbl>
    <w:p w:rsidR="003D7277" w:rsidRPr="00190C70" w:rsidRDefault="003D7277" w:rsidP="00B21BA0">
      <w:pPr>
        <w:jc w:val="both"/>
        <w:rPr>
          <w:rFonts w:cs="Arial"/>
          <w:b/>
          <w:iCs/>
          <w:sz w:val="24"/>
          <w:szCs w:val="24"/>
          <w:lang w:val="es-ES"/>
        </w:rPr>
      </w:pPr>
    </w:p>
    <w:p w:rsidR="00B21BA0" w:rsidRPr="00190C70" w:rsidRDefault="00B21BA0" w:rsidP="00DE2DAD">
      <w:pPr>
        <w:jc w:val="both"/>
        <w:rPr>
          <w:rFonts w:cs="Arial"/>
          <w:iCs/>
          <w:sz w:val="24"/>
          <w:szCs w:val="24"/>
          <w:lang w:val="es-ES"/>
        </w:rPr>
      </w:pPr>
      <w:r w:rsidRPr="00190C70">
        <w:rPr>
          <w:rFonts w:cs="Arial"/>
          <w:b/>
          <w:iCs/>
          <w:sz w:val="24"/>
          <w:szCs w:val="24"/>
          <w:lang w:val="es-ES"/>
        </w:rPr>
        <w:t>Artículo 41.-  DETERMINACION DE LA BASE IMPONIBLE.-</w:t>
      </w:r>
      <w:r w:rsidRPr="00190C70">
        <w:rPr>
          <w:rFonts w:cs="Arial"/>
          <w:iCs/>
          <w:sz w:val="24"/>
          <w:szCs w:val="24"/>
          <w:lang w:val="es-ES"/>
        </w:rPr>
        <w:t xml:space="preserve">  La base imponible, se determina a partir del valor de la propiedad, en aplicación de las rebajas, deducciones y exenciones previstas en el </w:t>
      </w:r>
      <w:r w:rsidRPr="00190C70">
        <w:rPr>
          <w:rFonts w:cs="Arial"/>
          <w:sz w:val="24"/>
          <w:szCs w:val="24"/>
          <w:lang w:val="es-ES"/>
        </w:rPr>
        <w:t>Código Orgánico de Organización Territorial Autonomía y Descentralización</w:t>
      </w:r>
      <w:r w:rsidRPr="00190C70">
        <w:rPr>
          <w:rFonts w:cs="Arial"/>
          <w:iCs/>
          <w:sz w:val="24"/>
          <w:szCs w:val="24"/>
          <w:lang w:val="es-ES"/>
        </w:rPr>
        <w:t xml:space="preserve"> y otras leyes.</w:t>
      </w:r>
    </w:p>
    <w:p w:rsidR="00B21BA0" w:rsidRPr="00190C70" w:rsidRDefault="00B21BA0" w:rsidP="00DE2DAD">
      <w:pPr>
        <w:jc w:val="both"/>
        <w:rPr>
          <w:rFonts w:cs="Arial"/>
          <w:iCs/>
          <w:sz w:val="24"/>
          <w:szCs w:val="24"/>
          <w:lang w:val="es-ES"/>
        </w:rPr>
      </w:pPr>
      <w:r w:rsidRPr="00190C70">
        <w:rPr>
          <w:rFonts w:cs="Arial"/>
          <w:b/>
          <w:iCs/>
          <w:sz w:val="24"/>
          <w:szCs w:val="24"/>
          <w:lang w:val="es-ES"/>
        </w:rPr>
        <w:t>Artículo 42.- VALOR IMPONIBLE  DE VARIOS PREDIOS DE UN PROPIETARIO.-</w:t>
      </w:r>
      <w:r w:rsidRPr="00190C70">
        <w:rPr>
          <w:rFonts w:cs="Arial"/>
          <w:iCs/>
          <w:sz w:val="24"/>
          <w:szCs w:val="24"/>
          <w:lang w:val="es-ES"/>
        </w:rPr>
        <w:t xml:space="preserve">  Para establecer el valor imponible, se sumarán los valores de la propiedad de los predios que posea un propietario en un mismo cantón y la tarifa se aplicará al valor acumulado, previa la deducción a que tenga derecho el contribuyente.</w:t>
      </w:r>
    </w:p>
    <w:p w:rsidR="00B21BA0" w:rsidRPr="00190C70" w:rsidRDefault="00B21BA0" w:rsidP="00DE2DAD">
      <w:pPr>
        <w:jc w:val="both"/>
        <w:rPr>
          <w:rFonts w:cs="Arial"/>
          <w:iCs/>
          <w:sz w:val="24"/>
          <w:szCs w:val="24"/>
          <w:lang w:val="es-ES"/>
        </w:rPr>
      </w:pPr>
      <w:r w:rsidRPr="00190C70">
        <w:rPr>
          <w:rFonts w:cs="Arial"/>
          <w:b/>
          <w:iCs/>
          <w:sz w:val="24"/>
          <w:szCs w:val="24"/>
          <w:lang w:val="es-ES"/>
        </w:rPr>
        <w:t>Artículo 43.-  DETERMINACION DEL IMPUESTO PREDIAL.-</w:t>
      </w:r>
      <w:r w:rsidRPr="00190C70">
        <w:rPr>
          <w:rFonts w:cs="Arial"/>
          <w:iCs/>
          <w:sz w:val="24"/>
          <w:szCs w:val="24"/>
          <w:lang w:val="es-ES"/>
        </w:rPr>
        <w:t xml:space="preserve">  Para determinar la cuantía del impuesto predial rural, se aplicará la Tarifa de 0.25 por mil (cero punto veinte y cinco por mil), calculado sobre el valor de la propiedad.</w:t>
      </w:r>
    </w:p>
    <w:p w:rsidR="00DE2DAD" w:rsidRDefault="00B21BA0" w:rsidP="00DE2DAD">
      <w:pPr>
        <w:jc w:val="both"/>
        <w:rPr>
          <w:rFonts w:cs="Arial"/>
          <w:iCs/>
          <w:sz w:val="24"/>
          <w:szCs w:val="24"/>
          <w:lang w:val="es-ES"/>
        </w:rPr>
      </w:pPr>
      <w:r w:rsidRPr="00190C70">
        <w:rPr>
          <w:rFonts w:cs="Arial"/>
          <w:b/>
          <w:iCs/>
          <w:sz w:val="24"/>
          <w:szCs w:val="24"/>
          <w:lang w:val="es-ES"/>
        </w:rPr>
        <w:t>Artículo 44.- TRIBUTACION DE PREDIOS EN COPROPIEDAD.-</w:t>
      </w:r>
      <w:r w:rsidRPr="00190C70">
        <w:rPr>
          <w:rFonts w:cs="Arial"/>
          <w:iCs/>
          <w:sz w:val="24"/>
          <w:szCs w:val="24"/>
          <w:lang w:val="es-ES"/>
        </w:rPr>
        <w:t xml:space="preserve"> Cuando hubiere más de un propietario de un mismo predio, se aplicarán las siguientes reglas: los contribuyentes, </w:t>
      </w:r>
      <w:r w:rsidR="008957CE" w:rsidRPr="00190C70">
        <w:rPr>
          <w:rFonts w:cs="Arial"/>
          <w:iCs/>
          <w:sz w:val="24"/>
          <w:szCs w:val="24"/>
          <w:lang w:val="es-ES"/>
        </w:rPr>
        <w:t xml:space="preserve"> </w:t>
      </w:r>
      <w:r w:rsidRPr="00190C70">
        <w:rPr>
          <w:rFonts w:cs="Arial"/>
          <w:iCs/>
          <w:sz w:val="24"/>
          <w:szCs w:val="24"/>
          <w:lang w:val="es-ES"/>
        </w:rPr>
        <w:t xml:space="preserve">de común acuerdo o no, </w:t>
      </w:r>
      <w:r w:rsidR="008957CE" w:rsidRPr="00190C70">
        <w:rPr>
          <w:rFonts w:cs="Arial"/>
          <w:iCs/>
          <w:sz w:val="24"/>
          <w:szCs w:val="24"/>
          <w:lang w:val="es-ES"/>
        </w:rPr>
        <w:t xml:space="preserve"> </w:t>
      </w:r>
      <w:r w:rsidRPr="00190C70">
        <w:rPr>
          <w:rFonts w:cs="Arial"/>
          <w:iCs/>
          <w:sz w:val="24"/>
          <w:szCs w:val="24"/>
          <w:lang w:val="es-ES"/>
        </w:rPr>
        <w:t>podrán</w:t>
      </w:r>
      <w:r w:rsidR="008957CE" w:rsidRPr="00190C70">
        <w:rPr>
          <w:rFonts w:cs="Arial"/>
          <w:iCs/>
          <w:sz w:val="24"/>
          <w:szCs w:val="24"/>
          <w:lang w:val="es-ES"/>
        </w:rPr>
        <w:t xml:space="preserve"> </w:t>
      </w:r>
      <w:r w:rsidRPr="00190C70">
        <w:rPr>
          <w:rFonts w:cs="Arial"/>
          <w:iCs/>
          <w:sz w:val="24"/>
          <w:szCs w:val="24"/>
          <w:lang w:val="es-ES"/>
        </w:rPr>
        <w:t xml:space="preserve"> solicitar</w:t>
      </w:r>
      <w:r w:rsidR="008957CE" w:rsidRPr="00190C70">
        <w:rPr>
          <w:rFonts w:cs="Arial"/>
          <w:iCs/>
          <w:sz w:val="24"/>
          <w:szCs w:val="24"/>
          <w:lang w:val="es-ES"/>
        </w:rPr>
        <w:t xml:space="preserve"> </w:t>
      </w:r>
      <w:r w:rsidRPr="00190C70">
        <w:rPr>
          <w:rFonts w:cs="Arial"/>
          <w:iCs/>
          <w:sz w:val="24"/>
          <w:szCs w:val="24"/>
          <w:lang w:val="es-ES"/>
        </w:rPr>
        <w:t xml:space="preserve"> que</w:t>
      </w:r>
      <w:r w:rsidR="008957CE" w:rsidRPr="00190C70">
        <w:rPr>
          <w:rFonts w:cs="Arial"/>
          <w:iCs/>
          <w:sz w:val="24"/>
          <w:szCs w:val="24"/>
          <w:lang w:val="es-ES"/>
        </w:rPr>
        <w:t xml:space="preserve"> </w:t>
      </w:r>
      <w:r w:rsidRPr="00190C70">
        <w:rPr>
          <w:rFonts w:cs="Arial"/>
          <w:iCs/>
          <w:sz w:val="24"/>
          <w:szCs w:val="24"/>
          <w:lang w:val="es-ES"/>
        </w:rPr>
        <w:t xml:space="preserve"> en</w:t>
      </w:r>
      <w:r w:rsidR="008957CE" w:rsidRPr="00190C70">
        <w:rPr>
          <w:rFonts w:cs="Arial"/>
          <w:iCs/>
          <w:sz w:val="24"/>
          <w:szCs w:val="24"/>
          <w:lang w:val="es-ES"/>
        </w:rPr>
        <w:t xml:space="preserve"> </w:t>
      </w:r>
      <w:r w:rsidRPr="00190C70">
        <w:rPr>
          <w:rFonts w:cs="Arial"/>
          <w:iCs/>
          <w:sz w:val="24"/>
          <w:szCs w:val="24"/>
          <w:lang w:val="es-ES"/>
        </w:rPr>
        <w:t xml:space="preserve"> el catastro </w:t>
      </w:r>
      <w:r w:rsidR="008957CE" w:rsidRPr="00190C70">
        <w:rPr>
          <w:rFonts w:cs="Arial"/>
          <w:iCs/>
          <w:sz w:val="24"/>
          <w:szCs w:val="24"/>
          <w:lang w:val="es-ES"/>
        </w:rPr>
        <w:t xml:space="preserve"> </w:t>
      </w:r>
      <w:r w:rsidRPr="00190C70">
        <w:rPr>
          <w:rFonts w:cs="Arial"/>
          <w:iCs/>
          <w:sz w:val="24"/>
          <w:szCs w:val="24"/>
          <w:lang w:val="es-ES"/>
        </w:rPr>
        <w:t>se haga</w:t>
      </w:r>
      <w:r w:rsidR="003D7277" w:rsidRPr="00190C70">
        <w:rPr>
          <w:rFonts w:cs="Arial"/>
          <w:iCs/>
          <w:sz w:val="24"/>
          <w:szCs w:val="24"/>
          <w:lang w:val="es-ES"/>
        </w:rPr>
        <w:t xml:space="preserve"> </w:t>
      </w:r>
      <w:r w:rsidRPr="00190C70">
        <w:rPr>
          <w:rFonts w:cs="Arial"/>
          <w:iCs/>
          <w:sz w:val="24"/>
          <w:szCs w:val="24"/>
          <w:lang w:val="es-ES"/>
        </w:rPr>
        <w:t xml:space="preserve">constar separadamente el valor que corresponda a la parte proporcional de su propiedad. A efectos del pago de impuestos, se podrán dividir los títulos prorrateando el valor del impuesto causado entre todos los copropietarios, en </w:t>
      </w:r>
      <w:r w:rsidR="00DE2DAD">
        <w:rPr>
          <w:rFonts w:cs="Arial"/>
          <w:iCs/>
          <w:sz w:val="24"/>
          <w:szCs w:val="24"/>
          <w:lang w:val="es-ES"/>
        </w:rPr>
        <w:t xml:space="preserve"> </w:t>
      </w:r>
      <w:r w:rsidRPr="00190C70">
        <w:rPr>
          <w:rFonts w:cs="Arial"/>
          <w:iCs/>
          <w:sz w:val="24"/>
          <w:szCs w:val="24"/>
          <w:lang w:val="es-ES"/>
        </w:rPr>
        <w:t xml:space="preserve">relación directa con el avalúo de su </w:t>
      </w:r>
    </w:p>
    <w:p w:rsidR="00B21BA0" w:rsidRPr="00190C70" w:rsidRDefault="00B21BA0" w:rsidP="00DE2DAD">
      <w:pPr>
        <w:jc w:val="both"/>
        <w:rPr>
          <w:rFonts w:cs="Arial"/>
          <w:iCs/>
          <w:sz w:val="24"/>
          <w:szCs w:val="24"/>
          <w:lang w:val="es-ES"/>
        </w:rPr>
      </w:pPr>
      <w:proofErr w:type="gramStart"/>
      <w:r w:rsidRPr="00190C70">
        <w:rPr>
          <w:rFonts w:cs="Arial"/>
          <w:iCs/>
          <w:sz w:val="24"/>
          <w:szCs w:val="24"/>
          <w:lang w:val="es-ES"/>
        </w:rPr>
        <w:lastRenderedPageBreak/>
        <w:t>propiedad</w:t>
      </w:r>
      <w:proofErr w:type="gramEnd"/>
      <w:r w:rsidRPr="00190C70">
        <w:rPr>
          <w:rFonts w:cs="Arial"/>
          <w:iCs/>
          <w:sz w:val="24"/>
          <w:szCs w:val="24"/>
          <w:lang w:val="es-ES"/>
        </w:rPr>
        <w:t>. Cada propietario tendrá derecho a que se aplique la tarifa del impuesto según el valor que proporcionalmente le corresponda. El valor de las hipotecas se deducirá a prorrata del valor de la propiedad del predio.</w:t>
      </w:r>
    </w:p>
    <w:p w:rsidR="00B21BA0" w:rsidRPr="00190C70" w:rsidRDefault="00B21BA0" w:rsidP="00DE2DAD">
      <w:pPr>
        <w:jc w:val="both"/>
        <w:rPr>
          <w:rFonts w:cs="Arial"/>
          <w:iCs/>
          <w:sz w:val="24"/>
          <w:szCs w:val="24"/>
          <w:lang w:val="es-ES"/>
        </w:rPr>
      </w:pPr>
      <w:r w:rsidRPr="00190C70">
        <w:rPr>
          <w:rFonts w:cs="Arial"/>
          <w:iCs/>
          <w:sz w:val="24"/>
          <w:szCs w:val="24"/>
          <w:lang w:val="es-ES"/>
        </w:rPr>
        <w:t>Para este objeto s</w:t>
      </w:r>
      <w:r w:rsidR="008957CE" w:rsidRPr="00190C70">
        <w:rPr>
          <w:rFonts w:cs="Arial"/>
          <w:iCs/>
          <w:sz w:val="24"/>
          <w:szCs w:val="24"/>
          <w:lang w:val="es-ES"/>
        </w:rPr>
        <w:t>e dirigirá una solicitud al Director/a Financiero/a del GADCG</w:t>
      </w:r>
      <w:r w:rsidRPr="00190C70">
        <w:rPr>
          <w:rFonts w:cs="Arial"/>
          <w:iCs/>
          <w:sz w:val="24"/>
          <w:szCs w:val="24"/>
          <w:lang w:val="es-ES"/>
        </w:rPr>
        <w:t>. Presentada la solicitud, la enmienda tendrá efecto el año inmediato siguiente.</w:t>
      </w:r>
    </w:p>
    <w:p w:rsidR="00B21BA0" w:rsidRPr="00190C70" w:rsidRDefault="00B21BA0" w:rsidP="00DE2DAD">
      <w:pPr>
        <w:jc w:val="both"/>
        <w:rPr>
          <w:rFonts w:cs="Arial"/>
          <w:iCs/>
          <w:sz w:val="24"/>
          <w:szCs w:val="24"/>
          <w:lang w:val="es-ES"/>
        </w:rPr>
      </w:pPr>
      <w:r w:rsidRPr="00190C70">
        <w:rPr>
          <w:rFonts w:cs="Arial"/>
          <w:b/>
          <w:iCs/>
          <w:sz w:val="24"/>
          <w:szCs w:val="24"/>
          <w:lang w:val="es-ES"/>
        </w:rPr>
        <w:t>Artículo 45.- FORMA Y PLAZO PARA EL PAGO.-</w:t>
      </w:r>
      <w:r w:rsidRPr="00190C70">
        <w:rPr>
          <w:rFonts w:cs="Arial"/>
          <w:iCs/>
          <w:sz w:val="24"/>
          <w:szCs w:val="24"/>
          <w:lang w:val="es-ES"/>
        </w:rPr>
        <w:t xml:space="preserve">  El pago del impuesto podrá efectuarse en dos dividendos: el primero hasta el primero de marzo y el segundo hasta el primero de septiembre. Los pagos que se efectúen hasta quince  días antes de esas fechas, tendrán un descuento  del diez por ciento (10%) anual.</w:t>
      </w:r>
    </w:p>
    <w:p w:rsidR="00B21BA0" w:rsidRPr="00190C70" w:rsidRDefault="00B21BA0" w:rsidP="00DE2DAD">
      <w:pPr>
        <w:jc w:val="both"/>
        <w:rPr>
          <w:rFonts w:cs="Arial"/>
          <w:iCs/>
          <w:sz w:val="24"/>
          <w:szCs w:val="24"/>
          <w:lang w:val="es-ES"/>
        </w:rPr>
      </w:pPr>
      <w:r w:rsidRPr="00190C70">
        <w:rPr>
          <w:rFonts w:cs="Arial"/>
          <w:iCs/>
          <w:sz w:val="24"/>
          <w:szCs w:val="24"/>
          <w:lang w:val="es-ES"/>
        </w:rPr>
        <w:t>Contribuyentes y responsables que no realicen el pago por dividendos los podrán pagar su título en cualquier fecha del periodo fiscal sin descuentos ni recargos.</w:t>
      </w:r>
    </w:p>
    <w:p w:rsidR="00B21BA0" w:rsidRPr="00190C70" w:rsidRDefault="00B21BA0" w:rsidP="00DE2DAD">
      <w:pPr>
        <w:jc w:val="both"/>
        <w:rPr>
          <w:rFonts w:cs="Arial"/>
          <w:iCs/>
          <w:sz w:val="24"/>
          <w:szCs w:val="24"/>
          <w:lang w:val="es-ES"/>
        </w:rPr>
      </w:pPr>
      <w:r w:rsidRPr="00190C70">
        <w:rPr>
          <w:rFonts w:cs="Arial"/>
          <w:iCs/>
          <w:sz w:val="24"/>
          <w:szCs w:val="24"/>
          <w:lang w:val="es-ES"/>
        </w:rPr>
        <w:t>Los pagos podrán efectuarse desde el primero de enero de cada año, aun cuando no se hubiere emitido el catastro.  En este caso, se realizará el pago a base del catastro del año anterior y se entregará al contribuyente un recibo provisional.  El vencimiento de la obligación tributaria será el 31 de diciembre de cada año.</w:t>
      </w:r>
    </w:p>
    <w:p w:rsidR="006B1AEE" w:rsidRPr="00190C70" w:rsidRDefault="006B1AEE" w:rsidP="006B1AEE">
      <w:pPr>
        <w:jc w:val="center"/>
        <w:rPr>
          <w:rFonts w:cs="Arial"/>
          <w:b/>
          <w:iCs/>
          <w:sz w:val="24"/>
          <w:szCs w:val="24"/>
          <w:lang w:val="es-ES"/>
        </w:rPr>
      </w:pPr>
      <w:r w:rsidRPr="00190C70">
        <w:rPr>
          <w:rFonts w:cs="Arial"/>
          <w:b/>
          <w:iCs/>
          <w:sz w:val="24"/>
          <w:szCs w:val="24"/>
          <w:lang w:val="es-ES"/>
        </w:rPr>
        <w:t>DISPOSICIONES</w:t>
      </w:r>
      <w:r w:rsidR="00DE2DAD">
        <w:rPr>
          <w:rFonts w:cs="Arial"/>
          <w:b/>
          <w:iCs/>
          <w:sz w:val="24"/>
          <w:szCs w:val="24"/>
          <w:lang w:val="es-ES"/>
        </w:rPr>
        <w:t>:</w:t>
      </w:r>
    </w:p>
    <w:p w:rsidR="006B1AEE" w:rsidRPr="00190C70" w:rsidRDefault="006B1AEE" w:rsidP="00DE2DAD">
      <w:pPr>
        <w:jc w:val="both"/>
        <w:rPr>
          <w:rFonts w:cs="Arial"/>
          <w:b/>
          <w:iCs/>
          <w:sz w:val="24"/>
          <w:szCs w:val="24"/>
          <w:lang w:val="es-ES"/>
        </w:rPr>
      </w:pPr>
      <w:r w:rsidRPr="00190C70">
        <w:rPr>
          <w:rFonts w:cs="Arial"/>
          <w:b/>
          <w:iCs/>
          <w:sz w:val="24"/>
          <w:szCs w:val="24"/>
          <w:lang w:val="es-ES"/>
        </w:rPr>
        <w:t xml:space="preserve">DISPOSICION TRANSITORIA.- </w:t>
      </w:r>
      <w:r w:rsidR="001E1D39" w:rsidRPr="00190C70">
        <w:rPr>
          <w:rFonts w:cs="Arial"/>
          <w:iCs/>
          <w:sz w:val="24"/>
          <w:szCs w:val="24"/>
          <w:lang w:val="es-ES"/>
        </w:rPr>
        <w:t>Los nuevos predios urbanos que resultaren producto del estudio técnico realizado por la consultora contratada para el efecto, podrán incorporarse del sector rural al sector  urbano mediante Ordenanza.</w:t>
      </w:r>
    </w:p>
    <w:p w:rsidR="006B1AEE" w:rsidRPr="00190C70" w:rsidRDefault="006B1AEE" w:rsidP="00DE2DAD">
      <w:pPr>
        <w:jc w:val="both"/>
        <w:rPr>
          <w:rFonts w:cs="Arial"/>
          <w:iCs/>
          <w:sz w:val="24"/>
          <w:szCs w:val="24"/>
          <w:lang w:val="es-ES"/>
        </w:rPr>
      </w:pPr>
      <w:r w:rsidRPr="00190C70">
        <w:rPr>
          <w:rFonts w:cs="Arial"/>
          <w:b/>
          <w:iCs/>
          <w:sz w:val="24"/>
          <w:szCs w:val="24"/>
          <w:lang w:val="es-ES"/>
        </w:rPr>
        <w:t xml:space="preserve">DISPOSICION DEROGATORIA.- </w:t>
      </w:r>
      <w:r w:rsidRPr="00190C70">
        <w:rPr>
          <w:rFonts w:cs="Arial"/>
          <w:iCs/>
          <w:sz w:val="24"/>
          <w:szCs w:val="24"/>
          <w:lang w:val="es-ES"/>
        </w:rPr>
        <w:t>A partir de la vigencia de la presente Ordenanza  quedan sin efecto Ordenanzas y Resoluciones que se opongan a la misma.</w:t>
      </w:r>
    </w:p>
    <w:p w:rsidR="00B21BA0" w:rsidRPr="00190C70" w:rsidRDefault="006B1AEE" w:rsidP="00DE2DAD">
      <w:pPr>
        <w:jc w:val="both"/>
        <w:rPr>
          <w:rFonts w:cs="Arial"/>
          <w:iCs/>
          <w:sz w:val="24"/>
          <w:szCs w:val="24"/>
          <w:lang w:val="es-ES"/>
        </w:rPr>
      </w:pPr>
      <w:r w:rsidRPr="00190C70">
        <w:rPr>
          <w:rFonts w:cs="Arial"/>
          <w:b/>
          <w:iCs/>
          <w:sz w:val="24"/>
          <w:szCs w:val="24"/>
          <w:lang w:val="es-ES"/>
        </w:rPr>
        <w:t xml:space="preserve">DISPOSICION FINAL.- </w:t>
      </w:r>
      <w:r w:rsidR="00B21BA0" w:rsidRPr="00190C70">
        <w:rPr>
          <w:rFonts w:cs="Arial"/>
          <w:iCs/>
          <w:sz w:val="24"/>
          <w:szCs w:val="24"/>
          <w:lang w:val="es-ES"/>
        </w:rPr>
        <w:t>La presente Ordenanza entrará en vigencia a partir de su apro</w:t>
      </w:r>
      <w:r w:rsidR="00DE2DAD">
        <w:rPr>
          <w:rFonts w:cs="Arial"/>
          <w:iCs/>
          <w:sz w:val="24"/>
          <w:szCs w:val="24"/>
          <w:lang w:val="es-ES"/>
        </w:rPr>
        <w:t>bación por el Concejo Municipal y debidamente sancionada por el Ejecutivo del Gobierno Autónomo Descentralizado del Cantón Guaranda,</w:t>
      </w:r>
      <w:r w:rsidR="00B21BA0" w:rsidRPr="00190C70">
        <w:rPr>
          <w:rFonts w:cs="Arial"/>
          <w:iCs/>
          <w:sz w:val="24"/>
          <w:szCs w:val="24"/>
          <w:lang w:val="es-ES"/>
        </w:rPr>
        <w:t xml:space="preserve"> sin perjuicio de su publicación en la Gaceta </w:t>
      </w:r>
      <w:r w:rsidR="00DE2DAD">
        <w:rPr>
          <w:rFonts w:cs="Arial"/>
          <w:iCs/>
          <w:sz w:val="24"/>
          <w:szCs w:val="24"/>
          <w:lang w:val="es-ES"/>
        </w:rPr>
        <w:t>Oficial, página</w:t>
      </w:r>
      <w:r w:rsidRPr="00190C70">
        <w:rPr>
          <w:rFonts w:cs="Arial"/>
          <w:iCs/>
          <w:sz w:val="24"/>
          <w:szCs w:val="24"/>
          <w:lang w:val="es-ES"/>
        </w:rPr>
        <w:t xml:space="preserve"> Web</w:t>
      </w:r>
      <w:r w:rsidR="00DE2DAD">
        <w:rPr>
          <w:rFonts w:cs="Arial"/>
          <w:iCs/>
          <w:sz w:val="24"/>
          <w:szCs w:val="24"/>
          <w:lang w:val="es-ES"/>
        </w:rPr>
        <w:t xml:space="preserve"> Institucional  y </w:t>
      </w:r>
      <w:r w:rsidR="00B21BA0" w:rsidRPr="00190C70">
        <w:rPr>
          <w:rFonts w:cs="Arial"/>
          <w:iCs/>
          <w:sz w:val="24"/>
          <w:szCs w:val="24"/>
          <w:lang w:val="es-ES"/>
        </w:rPr>
        <w:t>Registro Oficial.</w:t>
      </w:r>
    </w:p>
    <w:p w:rsidR="00922D24" w:rsidRDefault="00922D24" w:rsidP="00A6400A">
      <w:pPr>
        <w:spacing w:after="0"/>
        <w:jc w:val="both"/>
        <w:rPr>
          <w:rFonts w:cs="Arial"/>
          <w:sz w:val="24"/>
          <w:szCs w:val="24"/>
        </w:rPr>
      </w:pPr>
    </w:p>
    <w:p w:rsidR="00D61D83" w:rsidRPr="007C0A06" w:rsidRDefault="00D61D83" w:rsidP="00C92365">
      <w:pPr>
        <w:spacing w:after="0" w:line="240" w:lineRule="auto"/>
        <w:jc w:val="both"/>
        <w:rPr>
          <w:sz w:val="24"/>
          <w:szCs w:val="24"/>
        </w:rPr>
      </w:pPr>
      <w:r w:rsidRPr="007C0A06">
        <w:rPr>
          <w:sz w:val="24"/>
          <w:szCs w:val="24"/>
        </w:rPr>
        <w:lastRenderedPageBreak/>
        <w:t>Dado y firmado en la Sala de Sesiones del Concejo Municipal del Gobierno Autónomo Descentralizado Municipal</w:t>
      </w:r>
      <w:r>
        <w:rPr>
          <w:sz w:val="24"/>
          <w:szCs w:val="24"/>
        </w:rPr>
        <w:t xml:space="preserve"> de Guaranda, a los veinte y nueve</w:t>
      </w:r>
      <w:r w:rsidRPr="007C0A06">
        <w:rPr>
          <w:sz w:val="24"/>
          <w:szCs w:val="24"/>
        </w:rPr>
        <w:t xml:space="preserve">  días del mes de</w:t>
      </w:r>
      <w:r>
        <w:rPr>
          <w:sz w:val="24"/>
          <w:szCs w:val="24"/>
        </w:rPr>
        <w:t xml:space="preserve"> diciembre</w:t>
      </w:r>
      <w:r>
        <w:rPr>
          <w:sz w:val="24"/>
          <w:szCs w:val="24"/>
        </w:rPr>
        <w:t xml:space="preserve"> del año dos mil diecisiete</w:t>
      </w:r>
      <w:r w:rsidRPr="007C0A06">
        <w:rPr>
          <w:sz w:val="24"/>
          <w:szCs w:val="24"/>
        </w:rPr>
        <w:t>.</w:t>
      </w:r>
      <w:r w:rsidRPr="007C0A06">
        <w:rPr>
          <w:noProof/>
          <w:sz w:val="24"/>
          <w:szCs w:val="24"/>
        </w:rPr>
        <w:t xml:space="preserve"> </w:t>
      </w:r>
    </w:p>
    <w:p w:rsidR="00D61D83" w:rsidRPr="007C0A06" w:rsidRDefault="00D61D83" w:rsidP="00D61D83">
      <w:pPr>
        <w:spacing w:after="0"/>
        <w:jc w:val="both"/>
        <w:rPr>
          <w:sz w:val="24"/>
          <w:szCs w:val="24"/>
        </w:rPr>
      </w:pPr>
    </w:p>
    <w:p w:rsidR="00D61D83" w:rsidRPr="007C0A06" w:rsidRDefault="00D61D83" w:rsidP="00D61D83">
      <w:pPr>
        <w:tabs>
          <w:tab w:val="left" w:pos="1178"/>
        </w:tabs>
        <w:jc w:val="both"/>
        <w:rPr>
          <w:sz w:val="24"/>
          <w:szCs w:val="24"/>
        </w:rPr>
      </w:pPr>
    </w:p>
    <w:p w:rsidR="00D61D83" w:rsidRPr="007C0A06" w:rsidRDefault="00D61D83" w:rsidP="00C92365">
      <w:pPr>
        <w:tabs>
          <w:tab w:val="left" w:pos="1178"/>
        </w:tabs>
        <w:spacing w:after="0" w:line="240" w:lineRule="auto"/>
        <w:jc w:val="both"/>
        <w:rPr>
          <w:b/>
          <w:sz w:val="24"/>
          <w:szCs w:val="24"/>
        </w:rPr>
      </w:pPr>
      <w:r w:rsidRPr="007C0A06">
        <w:rPr>
          <w:b/>
          <w:sz w:val="24"/>
          <w:szCs w:val="24"/>
        </w:rPr>
        <w:t xml:space="preserve">  RAMSSES TORRES ESPINOSA.                                            </w:t>
      </w:r>
      <w:r w:rsidR="00C92365">
        <w:rPr>
          <w:b/>
          <w:sz w:val="24"/>
          <w:szCs w:val="24"/>
        </w:rPr>
        <w:t xml:space="preserve">  </w:t>
      </w:r>
      <w:r w:rsidRPr="007C0A06">
        <w:rPr>
          <w:b/>
          <w:sz w:val="24"/>
          <w:szCs w:val="24"/>
        </w:rPr>
        <w:t xml:space="preserve">  DR. MIGUEL ANGEL LEÓN Z.</w:t>
      </w:r>
    </w:p>
    <w:p w:rsidR="00D61D83" w:rsidRDefault="00D61D83" w:rsidP="00C92365">
      <w:pPr>
        <w:tabs>
          <w:tab w:val="left" w:pos="1178"/>
        </w:tabs>
        <w:spacing w:after="0" w:line="240" w:lineRule="auto"/>
        <w:jc w:val="both"/>
        <w:rPr>
          <w:b/>
          <w:sz w:val="24"/>
          <w:szCs w:val="24"/>
        </w:rPr>
      </w:pPr>
      <w:r w:rsidRPr="007C0A06">
        <w:rPr>
          <w:b/>
          <w:sz w:val="24"/>
          <w:szCs w:val="24"/>
        </w:rPr>
        <w:t xml:space="preserve">  ALCALDE DEL CANTÓN GUARANDA.                                   </w:t>
      </w:r>
      <w:r w:rsidR="00C92365">
        <w:rPr>
          <w:b/>
          <w:sz w:val="24"/>
          <w:szCs w:val="24"/>
        </w:rPr>
        <w:t xml:space="preserve">  </w:t>
      </w:r>
      <w:r w:rsidRPr="007C0A06">
        <w:rPr>
          <w:b/>
          <w:sz w:val="24"/>
          <w:szCs w:val="24"/>
        </w:rPr>
        <w:t xml:space="preserve"> SECRETARIO DE CONCEJO.</w:t>
      </w:r>
    </w:p>
    <w:p w:rsidR="00C92365" w:rsidRPr="007C0A06" w:rsidRDefault="00C92365" w:rsidP="00C92365">
      <w:pPr>
        <w:tabs>
          <w:tab w:val="left" w:pos="1178"/>
        </w:tabs>
        <w:spacing w:after="0" w:line="240" w:lineRule="auto"/>
        <w:jc w:val="both"/>
        <w:rPr>
          <w:b/>
          <w:sz w:val="24"/>
          <w:szCs w:val="24"/>
        </w:rPr>
      </w:pPr>
    </w:p>
    <w:p w:rsidR="0025597B" w:rsidRPr="007C0A06" w:rsidRDefault="00D61D83" w:rsidP="00D61D83">
      <w:pPr>
        <w:tabs>
          <w:tab w:val="left" w:pos="1178"/>
        </w:tabs>
        <w:jc w:val="both"/>
        <w:rPr>
          <w:b/>
          <w:sz w:val="24"/>
          <w:szCs w:val="24"/>
        </w:rPr>
      </w:pPr>
      <w:r w:rsidRPr="007C0A06">
        <w:rPr>
          <w:b/>
          <w:sz w:val="24"/>
          <w:szCs w:val="24"/>
        </w:rPr>
        <w:t>CERTIFICO:</w:t>
      </w:r>
    </w:p>
    <w:p w:rsidR="0025597B" w:rsidRPr="007C0A06" w:rsidRDefault="00D61D83" w:rsidP="00C92365">
      <w:pPr>
        <w:pStyle w:val="Default"/>
        <w:jc w:val="both"/>
        <w:rPr>
          <w:rFonts w:asciiTheme="minorHAnsi" w:hAnsiTheme="minorHAnsi"/>
          <w:lang w:val="es-EC"/>
        </w:rPr>
      </w:pPr>
      <w:r w:rsidRPr="007C0A06">
        <w:rPr>
          <w:rFonts w:asciiTheme="minorHAnsi" w:hAnsiTheme="minorHAnsi"/>
          <w:lang w:val="es-EC"/>
        </w:rPr>
        <w:t>Que</w:t>
      </w:r>
      <w:r w:rsidRPr="007C0A06">
        <w:rPr>
          <w:rFonts w:asciiTheme="minorHAnsi" w:hAnsiTheme="minorHAnsi" w:cs="Arial-BoldMT"/>
          <w:b/>
          <w:bCs/>
          <w:lang w:val="es-EC"/>
        </w:rPr>
        <w:t xml:space="preserve"> LA</w:t>
      </w:r>
      <w:r>
        <w:rPr>
          <w:rFonts w:asciiTheme="minorHAnsi" w:hAnsiTheme="minorHAnsi" w:cs="Arial-BoldMT"/>
          <w:b/>
          <w:bCs/>
          <w:lang w:val="es-EC"/>
        </w:rPr>
        <w:t xml:space="preserve"> </w:t>
      </w:r>
      <w:r w:rsidR="0025597B" w:rsidRPr="0025597B">
        <w:rPr>
          <w:rFonts w:asciiTheme="minorHAnsi" w:hAnsiTheme="minorHAnsi"/>
          <w:b/>
          <w:lang w:val="es-ES_tradnl"/>
        </w:rPr>
        <w:t xml:space="preserve">ORDENANZA QUE </w:t>
      </w:r>
      <w:r w:rsidR="0025597B" w:rsidRPr="0025597B">
        <w:rPr>
          <w:rFonts w:asciiTheme="minorHAnsi" w:hAnsiTheme="minorHAnsi"/>
          <w:b/>
          <w:lang w:val="es-EC"/>
        </w:rPr>
        <w:t>REGULA</w:t>
      </w:r>
      <w:r w:rsidR="0025597B" w:rsidRPr="0025597B">
        <w:rPr>
          <w:rFonts w:asciiTheme="minorHAnsi" w:hAnsiTheme="minorHAnsi"/>
          <w:b/>
          <w:lang w:val="es-ES"/>
        </w:rPr>
        <w:t xml:space="preserve"> LA FORMACIÓN DE LOS CATASTROS PREDIALES URBANOS Y RURALES, LA DETERMINACIÓN, ADMINISTRACIÓN Y RECAUDACIÓN DEL IMPUESTO A LOS PREDIOS URBANOS Y RURALES PARA EL BIENIO 2018-2019 DEL  CANTÓN GUARANDA</w:t>
      </w:r>
      <w:r w:rsidRPr="007C0A06">
        <w:rPr>
          <w:rFonts w:asciiTheme="minorHAnsi" w:hAnsiTheme="minorHAnsi"/>
          <w:b/>
          <w:bCs/>
          <w:lang w:val="es-EC"/>
        </w:rPr>
        <w:t xml:space="preserve">, </w:t>
      </w:r>
      <w:r w:rsidRPr="007C0A06">
        <w:rPr>
          <w:rFonts w:asciiTheme="minorHAnsi" w:hAnsiTheme="minorHAnsi"/>
          <w:lang w:val="es-EC"/>
        </w:rPr>
        <w:t xml:space="preserve">fue discutida y aprobada por el Concejo Municipal del Gobierno Autónomo Descentralizado del Cantón </w:t>
      </w:r>
      <w:r w:rsidR="0025597B">
        <w:rPr>
          <w:rFonts w:asciiTheme="minorHAnsi" w:hAnsiTheme="minorHAnsi"/>
          <w:lang w:val="es-EC"/>
        </w:rPr>
        <w:t>Guaranda, en sesiones extraordinarias realizadas el miércoles 27 y viernes 29 de diciembre</w:t>
      </w:r>
      <w:r>
        <w:rPr>
          <w:rFonts w:asciiTheme="minorHAnsi" w:hAnsiTheme="minorHAnsi"/>
          <w:lang w:val="es-EC"/>
        </w:rPr>
        <w:t xml:space="preserve"> del 2017</w:t>
      </w:r>
      <w:r w:rsidRPr="007C0A06">
        <w:rPr>
          <w:rFonts w:asciiTheme="minorHAnsi" w:hAnsiTheme="minorHAnsi"/>
          <w:lang w:val="es-EC"/>
        </w:rPr>
        <w:t>, en primero y segundo debate respectivamente.</w:t>
      </w:r>
    </w:p>
    <w:p w:rsidR="00D61D83" w:rsidRDefault="0025597B" w:rsidP="0025597B">
      <w:pPr>
        <w:tabs>
          <w:tab w:val="left" w:pos="1178"/>
        </w:tabs>
        <w:spacing w:after="0"/>
        <w:jc w:val="both"/>
        <w:rPr>
          <w:sz w:val="24"/>
          <w:szCs w:val="24"/>
        </w:rPr>
      </w:pPr>
      <w:r>
        <w:rPr>
          <w:sz w:val="24"/>
          <w:szCs w:val="24"/>
        </w:rPr>
        <w:t>Guaranda,  29 de diciembre</w:t>
      </w:r>
      <w:r w:rsidR="00D61D83">
        <w:rPr>
          <w:sz w:val="24"/>
          <w:szCs w:val="24"/>
        </w:rPr>
        <w:t xml:space="preserve">  del 2017</w:t>
      </w:r>
      <w:r w:rsidR="00D61D83" w:rsidRPr="007C0A06">
        <w:rPr>
          <w:sz w:val="24"/>
          <w:szCs w:val="24"/>
        </w:rPr>
        <w:t>.</w:t>
      </w:r>
    </w:p>
    <w:p w:rsidR="0025597B" w:rsidRPr="007C0A06" w:rsidRDefault="0025597B" w:rsidP="0025597B">
      <w:pPr>
        <w:tabs>
          <w:tab w:val="left" w:pos="1178"/>
        </w:tabs>
        <w:spacing w:after="0"/>
        <w:jc w:val="both"/>
        <w:rPr>
          <w:sz w:val="24"/>
          <w:szCs w:val="24"/>
        </w:rPr>
      </w:pPr>
    </w:p>
    <w:p w:rsidR="00D61D83" w:rsidRPr="007C0A06" w:rsidRDefault="00D61D83" w:rsidP="00D61D83">
      <w:pPr>
        <w:tabs>
          <w:tab w:val="left" w:pos="1178"/>
        </w:tabs>
        <w:rPr>
          <w:b/>
          <w:sz w:val="24"/>
          <w:szCs w:val="24"/>
        </w:rPr>
      </w:pPr>
    </w:p>
    <w:p w:rsidR="00D61D83" w:rsidRPr="007C0A06" w:rsidRDefault="00D61D83" w:rsidP="00C92365">
      <w:pPr>
        <w:tabs>
          <w:tab w:val="left" w:pos="1178"/>
        </w:tabs>
        <w:spacing w:after="0" w:line="240" w:lineRule="auto"/>
        <w:jc w:val="center"/>
        <w:rPr>
          <w:b/>
          <w:sz w:val="24"/>
          <w:szCs w:val="24"/>
        </w:rPr>
      </w:pPr>
      <w:r w:rsidRPr="007C0A06">
        <w:rPr>
          <w:b/>
          <w:sz w:val="24"/>
          <w:szCs w:val="24"/>
        </w:rPr>
        <w:t>DR. MIGUEL ANGEL LEÓN Z.</w:t>
      </w:r>
    </w:p>
    <w:p w:rsidR="0025597B" w:rsidRPr="007C0A06" w:rsidRDefault="00D61D83" w:rsidP="00C92365">
      <w:pPr>
        <w:tabs>
          <w:tab w:val="left" w:pos="1178"/>
        </w:tabs>
        <w:spacing w:after="0" w:line="240" w:lineRule="auto"/>
        <w:jc w:val="center"/>
        <w:rPr>
          <w:b/>
          <w:sz w:val="24"/>
          <w:szCs w:val="24"/>
        </w:rPr>
      </w:pPr>
      <w:r w:rsidRPr="007C0A06">
        <w:rPr>
          <w:b/>
          <w:sz w:val="24"/>
          <w:szCs w:val="24"/>
        </w:rPr>
        <w:t>SECRETARIO DE CONCEJO.</w:t>
      </w:r>
    </w:p>
    <w:p w:rsidR="00D61D83" w:rsidRPr="007C0A06" w:rsidRDefault="00D61D83" w:rsidP="00D61D83">
      <w:pPr>
        <w:tabs>
          <w:tab w:val="left" w:pos="1178"/>
        </w:tabs>
        <w:spacing w:after="0"/>
        <w:jc w:val="center"/>
        <w:rPr>
          <w:b/>
          <w:sz w:val="24"/>
          <w:szCs w:val="24"/>
        </w:rPr>
      </w:pPr>
    </w:p>
    <w:p w:rsidR="00D61D83" w:rsidRPr="007C0A06" w:rsidRDefault="00D61D83" w:rsidP="00C92365">
      <w:pPr>
        <w:pStyle w:val="Default"/>
        <w:jc w:val="both"/>
        <w:rPr>
          <w:rFonts w:asciiTheme="minorHAnsi" w:hAnsiTheme="minorHAnsi"/>
          <w:lang w:val="es-EC"/>
        </w:rPr>
      </w:pPr>
      <w:r w:rsidRPr="007C0A06">
        <w:rPr>
          <w:rFonts w:asciiTheme="minorHAnsi" w:hAnsiTheme="minorHAnsi"/>
          <w:b/>
          <w:lang w:val="es-EC"/>
        </w:rPr>
        <w:t xml:space="preserve">SECRETARIA GENERAL.- </w:t>
      </w:r>
      <w:r w:rsidRPr="007C0A06">
        <w:rPr>
          <w:rFonts w:asciiTheme="minorHAnsi" w:hAnsiTheme="minorHAnsi"/>
          <w:lang w:val="es-EC"/>
        </w:rPr>
        <w:t>En esta fecha remito la presente</w:t>
      </w:r>
      <w:r w:rsidR="0025597B">
        <w:rPr>
          <w:rFonts w:asciiTheme="minorHAnsi" w:hAnsiTheme="minorHAnsi"/>
          <w:lang w:val="es-EC"/>
        </w:rPr>
        <w:t xml:space="preserve"> </w:t>
      </w:r>
      <w:r w:rsidR="00C92365" w:rsidRPr="0025597B">
        <w:rPr>
          <w:rFonts w:asciiTheme="minorHAnsi" w:hAnsiTheme="minorHAnsi"/>
          <w:b/>
          <w:lang w:val="es-ES_tradnl"/>
        </w:rPr>
        <w:t xml:space="preserve">ORDENANZA QUE </w:t>
      </w:r>
      <w:r w:rsidR="00C92365" w:rsidRPr="0025597B">
        <w:rPr>
          <w:rFonts w:asciiTheme="minorHAnsi" w:hAnsiTheme="minorHAnsi"/>
          <w:b/>
          <w:lang w:val="es-EC"/>
        </w:rPr>
        <w:t>REGULA</w:t>
      </w:r>
      <w:r w:rsidR="00C92365" w:rsidRPr="0025597B">
        <w:rPr>
          <w:rFonts w:asciiTheme="minorHAnsi" w:hAnsiTheme="minorHAnsi"/>
          <w:b/>
          <w:lang w:val="es-ES"/>
        </w:rPr>
        <w:t xml:space="preserve"> LA FORMACIÓN DE LOS CATASTROS PREDIALES URBANOS Y RURALES, LA DETERMINACIÓN, ADMINISTRACIÓN Y RECAUDACIÓN DEL IMPUESTO A LOS PREDIOS URBANOS Y RURALES PARA EL BIENIO 2018-2019 DEL  CANTÓN GUARANDA</w:t>
      </w:r>
      <w:r w:rsidRPr="007C0A06">
        <w:rPr>
          <w:rFonts w:asciiTheme="minorHAnsi" w:hAnsiTheme="minorHAnsi"/>
          <w:b/>
          <w:lang w:val="es-EC"/>
        </w:rPr>
        <w:t xml:space="preserve">, </w:t>
      </w:r>
      <w:r w:rsidRPr="007C0A06">
        <w:rPr>
          <w:rFonts w:asciiTheme="minorHAnsi" w:hAnsiTheme="minorHAnsi"/>
          <w:lang w:val="es-EC"/>
        </w:rPr>
        <w:t>al Sr. Ramsses Torres Espinosa, Alcalde del cantón Guaranda para que la sancione o la observe conforme dispone el Código  Orgánico  de  Organización  Territorial  Autonomía y Descentralización  COOTAD.- Certifico.</w:t>
      </w:r>
    </w:p>
    <w:p w:rsidR="00D61D83" w:rsidRPr="007C0A06" w:rsidRDefault="00D61D83" w:rsidP="00C92365">
      <w:pPr>
        <w:tabs>
          <w:tab w:val="left" w:pos="1178"/>
        </w:tabs>
        <w:spacing w:after="0" w:line="240" w:lineRule="auto"/>
        <w:jc w:val="both"/>
        <w:rPr>
          <w:sz w:val="24"/>
          <w:szCs w:val="24"/>
        </w:rPr>
      </w:pPr>
      <w:r w:rsidRPr="007C0A06">
        <w:rPr>
          <w:sz w:val="24"/>
          <w:szCs w:val="24"/>
        </w:rPr>
        <w:t>G</w:t>
      </w:r>
      <w:r w:rsidR="00C92365">
        <w:rPr>
          <w:sz w:val="24"/>
          <w:szCs w:val="24"/>
        </w:rPr>
        <w:t>uaranda, 29  de diciembre</w:t>
      </w:r>
      <w:r>
        <w:rPr>
          <w:sz w:val="24"/>
          <w:szCs w:val="24"/>
        </w:rPr>
        <w:t xml:space="preserve">  del 2017</w:t>
      </w:r>
      <w:r w:rsidRPr="007C0A06">
        <w:rPr>
          <w:sz w:val="24"/>
          <w:szCs w:val="24"/>
        </w:rPr>
        <w:t>.</w:t>
      </w:r>
      <w:r w:rsidR="00C92365">
        <w:rPr>
          <w:sz w:val="24"/>
          <w:szCs w:val="24"/>
        </w:rPr>
        <w:t xml:space="preserve"> </w:t>
      </w:r>
    </w:p>
    <w:p w:rsidR="00D61D83" w:rsidRPr="007C0A06" w:rsidRDefault="00D61D83" w:rsidP="00D61D83">
      <w:pPr>
        <w:tabs>
          <w:tab w:val="left" w:pos="1178"/>
        </w:tabs>
        <w:jc w:val="both"/>
        <w:rPr>
          <w:sz w:val="24"/>
          <w:szCs w:val="24"/>
        </w:rPr>
      </w:pPr>
    </w:p>
    <w:p w:rsidR="00D61D83" w:rsidRPr="007C0A06" w:rsidRDefault="00D61D83" w:rsidP="00C92365">
      <w:pPr>
        <w:tabs>
          <w:tab w:val="left" w:pos="1178"/>
        </w:tabs>
        <w:spacing w:after="0" w:line="240" w:lineRule="auto"/>
        <w:jc w:val="center"/>
        <w:rPr>
          <w:b/>
          <w:sz w:val="24"/>
          <w:szCs w:val="24"/>
        </w:rPr>
      </w:pPr>
      <w:r w:rsidRPr="007C0A06">
        <w:rPr>
          <w:b/>
          <w:sz w:val="24"/>
          <w:szCs w:val="24"/>
        </w:rPr>
        <w:t>DR. MIGUEL ANGEL LEÓN Z.</w:t>
      </w:r>
    </w:p>
    <w:p w:rsidR="00C92365" w:rsidRPr="007C0A06" w:rsidRDefault="00D61D83" w:rsidP="00C92365">
      <w:pPr>
        <w:tabs>
          <w:tab w:val="left" w:pos="1178"/>
        </w:tabs>
        <w:spacing w:after="0" w:line="240" w:lineRule="auto"/>
        <w:jc w:val="center"/>
        <w:rPr>
          <w:b/>
          <w:sz w:val="24"/>
          <w:szCs w:val="24"/>
        </w:rPr>
      </w:pPr>
      <w:r w:rsidRPr="007C0A06">
        <w:rPr>
          <w:b/>
          <w:sz w:val="24"/>
          <w:szCs w:val="24"/>
        </w:rPr>
        <w:t>SECRETARIO DE CONCEJO.</w:t>
      </w:r>
    </w:p>
    <w:p w:rsidR="00D61D83" w:rsidRPr="007C0A06" w:rsidRDefault="00D61D83" w:rsidP="00C92365">
      <w:pPr>
        <w:pStyle w:val="Default"/>
        <w:spacing w:line="276" w:lineRule="auto"/>
        <w:jc w:val="both"/>
        <w:rPr>
          <w:rFonts w:asciiTheme="minorHAnsi" w:hAnsiTheme="minorHAnsi"/>
          <w:lang w:val="es-EC"/>
        </w:rPr>
      </w:pPr>
      <w:r w:rsidRPr="007C0A06">
        <w:rPr>
          <w:rFonts w:asciiTheme="minorHAnsi" w:hAnsiTheme="minorHAnsi"/>
          <w:b/>
          <w:lang w:val="es-EC"/>
        </w:rPr>
        <w:lastRenderedPageBreak/>
        <w:t xml:space="preserve">ALCALDÍA DEL CANTÓN GUARANDA.- </w:t>
      </w:r>
      <w:r w:rsidRPr="007C0A06">
        <w:rPr>
          <w:rFonts w:asciiTheme="minorHAnsi" w:hAnsiTheme="minorHAnsi"/>
          <w:lang w:val="es-EC"/>
        </w:rPr>
        <w:t xml:space="preserve">De conformidad con  lo prescrito en los artículos 322 y 324 del Código Orgánico de Organización Territorial Autonomía y Descentralización COOTAD, habiéndose observado el trámite legal de acuerdo con la Constitución y Leyes de la República del Ecuador.- </w:t>
      </w:r>
      <w:r w:rsidRPr="007C0A06">
        <w:rPr>
          <w:rFonts w:asciiTheme="minorHAnsi" w:hAnsiTheme="minorHAnsi"/>
          <w:b/>
          <w:lang w:val="es-EC"/>
        </w:rPr>
        <w:t>SANCIONO Y ORDENO</w:t>
      </w:r>
      <w:r w:rsidRPr="007C0A06">
        <w:rPr>
          <w:rFonts w:asciiTheme="minorHAnsi" w:hAnsiTheme="minorHAnsi"/>
          <w:lang w:val="es-EC"/>
        </w:rPr>
        <w:t xml:space="preserve"> su publicación de la presente</w:t>
      </w:r>
      <w:r w:rsidR="00C92365">
        <w:rPr>
          <w:rFonts w:asciiTheme="minorHAnsi" w:hAnsiTheme="minorHAnsi"/>
          <w:lang w:val="es-EC"/>
        </w:rPr>
        <w:t xml:space="preserve"> </w:t>
      </w:r>
      <w:r w:rsidR="00C92365" w:rsidRPr="0025597B">
        <w:rPr>
          <w:rFonts w:asciiTheme="minorHAnsi" w:hAnsiTheme="minorHAnsi"/>
          <w:b/>
          <w:lang w:val="es-ES_tradnl"/>
        </w:rPr>
        <w:t xml:space="preserve">ORDENANZA QUE </w:t>
      </w:r>
      <w:r w:rsidR="00C92365" w:rsidRPr="0025597B">
        <w:rPr>
          <w:rFonts w:asciiTheme="minorHAnsi" w:hAnsiTheme="minorHAnsi"/>
          <w:b/>
          <w:lang w:val="es-EC"/>
        </w:rPr>
        <w:t>REGULA</w:t>
      </w:r>
      <w:r w:rsidR="00C92365" w:rsidRPr="0025597B">
        <w:rPr>
          <w:rFonts w:asciiTheme="minorHAnsi" w:hAnsiTheme="minorHAnsi"/>
          <w:b/>
          <w:lang w:val="es-ES"/>
        </w:rPr>
        <w:t xml:space="preserve"> LA FORMACIÓN DE LOS CATASTROS PREDIALES URBANOS Y RURALES, LA DETERMINACIÓN, ADMINISTRACIÓN Y RECAUDACIÓN DEL IMPUESTO A LOS PREDIOS URBANOS Y RURALES PARA EL BIENIO 2018-2019 DEL  CANTÓN GUARANDA</w:t>
      </w:r>
      <w:r w:rsidRPr="007C0A06">
        <w:rPr>
          <w:rFonts w:asciiTheme="minorHAnsi" w:hAnsiTheme="minorHAnsi"/>
          <w:b/>
          <w:bCs/>
          <w:lang w:val="es-EC"/>
        </w:rPr>
        <w:t>,</w:t>
      </w:r>
      <w:r w:rsidR="00C92365">
        <w:rPr>
          <w:rFonts w:asciiTheme="minorHAnsi" w:hAnsiTheme="minorHAnsi"/>
          <w:bCs/>
          <w:lang w:val="es-EC"/>
        </w:rPr>
        <w:t xml:space="preserve"> a los veinte y nueve días del mes de diciembre</w:t>
      </w:r>
      <w:r w:rsidRPr="007C0A06">
        <w:rPr>
          <w:rFonts w:asciiTheme="minorHAnsi" w:hAnsiTheme="minorHAnsi"/>
          <w:bCs/>
          <w:lang w:val="es-EC"/>
        </w:rPr>
        <w:t xml:space="preserve"> del dos </w:t>
      </w:r>
      <w:r>
        <w:rPr>
          <w:rFonts w:asciiTheme="minorHAnsi" w:hAnsiTheme="minorHAnsi"/>
          <w:bCs/>
          <w:lang w:val="es-EC"/>
        </w:rPr>
        <w:t>mil diecisiete</w:t>
      </w:r>
      <w:r w:rsidRPr="007C0A06">
        <w:rPr>
          <w:rFonts w:asciiTheme="minorHAnsi" w:hAnsiTheme="minorHAnsi"/>
          <w:bCs/>
          <w:lang w:val="es-EC"/>
        </w:rPr>
        <w:t xml:space="preserve">.  </w:t>
      </w:r>
    </w:p>
    <w:p w:rsidR="00D61D83" w:rsidRPr="007C0A06" w:rsidRDefault="00C92365" w:rsidP="00C92365">
      <w:pPr>
        <w:tabs>
          <w:tab w:val="left" w:pos="1178"/>
        </w:tabs>
        <w:spacing w:after="0"/>
        <w:jc w:val="both"/>
        <w:rPr>
          <w:sz w:val="24"/>
          <w:szCs w:val="24"/>
        </w:rPr>
      </w:pPr>
      <w:r>
        <w:rPr>
          <w:sz w:val="24"/>
          <w:szCs w:val="24"/>
        </w:rPr>
        <w:t>Guaranda, 29 de diciembre</w:t>
      </w:r>
      <w:r w:rsidR="00D61D83">
        <w:rPr>
          <w:sz w:val="24"/>
          <w:szCs w:val="24"/>
        </w:rPr>
        <w:t xml:space="preserve">  del 2017</w:t>
      </w:r>
      <w:r w:rsidR="00D61D83" w:rsidRPr="007C0A06">
        <w:rPr>
          <w:sz w:val="24"/>
          <w:szCs w:val="24"/>
        </w:rPr>
        <w:t>.</w:t>
      </w:r>
    </w:p>
    <w:p w:rsidR="00D61D83" w:rsidRPr="007C0A06" w:rsidRDefault="00D61D83" w:rsidP="00D61D83">
      <w:pPr>
        <w:tabs>
          <w:tab w:val="left" w:pos="1178"/>
        </w:tabs>
        <w:jc w:val="both"/>
        <w:rPr>
          <w:sz w:val="24"/>
          <w:szCs w:val="24"/>
        </w:rPr>
      </w:pPr>
    </w:p>
    <w:p w:rsidR="00D61D83" w:rsidRPr="007C0A06" w:rsidRDefault="00D61D83" w:rsidP="00D61D83">
      <w:pPr>
        <w:tabs>
          <w:tab w:val="left" w:pos="1178"/>
        </w:tabs>
        <w:spacing w:after="0"/>
        <w:jc w:val="center"/>
        <w:rPr>
          <w:b/>
          <w:sz w:val="24"/>
          <w:szCs w:val="24"/>
        </w:rPr>
      </w:pPr>
    </w:p>
    <w:p w:rsidR="00D61D83" w:rsidRPr="007C0A06" w:rsidRDefault="00D61D83" w:rsidP="00C92365">
      <w:pPr>
        <w:tabs>
          <w:tab w:val="left" w:pos="1178"/>
        </w:tabs>
        <w:spacing w:after="0" w:line="240" w:lineRule="auto"/>
        <w:jc w:val="center"/>
        <w:rPr>
          <w:b/>
          <w:sz w:val="24"/>
          <w:szCs w:val="24"/>
        </w:rPr>
      </w:pPr>
      <w:r w:rsidRPr="007C0A06">
        <w:rPr>
          <w:b/>
          <w:sz w:val="24"/>
          <w:szCs w:val="24"/>
        </w:rPr>
        <w:t>RAMSSES TORRES ESPINOSA.</w:t>
      </w:r>
    </w:p>
    <w:p w:rsidR="00D61D83" w:rsidRPr="007C0A06" w:rsidRDefault="00D61D83" w:rsidP="00C92365">
      <w:pPr>
        <w:tabs>
          <w:tab w:val="left" w:pos="1178"/>
        </w:tabs>
        <w:spacing w:after="0" w:line="240" w:lineRule="auto"/>
        <w:jc w:val="center"/>
        <w:rPr>
          <w:b/>
          <w:sz w:val="24"/>
          <w:szCs w:val="24"/>
        </w:rPr>
      </w:pPr>
      <w:r w:rsidRPr="007C0A06">
        <w:rPr>
          <w:b/>
          <w:sz w:val="24"/>
          <w:szCs w:val="24"/>
        </w:rPr>
        <w:t>ALCALDE DEL CANTÓN GUARANDA.</w:t>
      </w:r>
    </w:p>
    <w:p w:rsidR="00D61D83" w:rsidRPr="007C0A06" w:rsidRDefault="00D61D83" w:rsidP="00D61D83">
      <w:pPr>
        <w:tabs>
          <w:tab w:val="left" w:pos="1178"/>
        </w:tabs>
        <w:spacing w:after="0"/>
        <w:jc w:val="both"/>
        <w:rPr>
          <w:b/>
          <w:sz w:val="24"/>
          <w:szCs w:val="24"/>
        </w:rPr>
      </w:pPr>
    </w:p>
    <w:p w:rsidR="00D61D83" w:rsidRPr="007C0A06" w:rsidRDefault="00D61D83" w:rsidP="00C92365">
      <w:pPr>
        <w:pStyle w:val="Default"/>
        <w:spacing w:line="276" w:lineRule="auto"/>
        <w:jc w:val="both"/>
        <w:rPr>
          <w:rFonts w:asciiTheme="minorHAnsi" w:hAnsiTheme="minorHAnsi"/>
          <w:lang w:val="es-EC"/>
        </w:rPr>
      </w:pPr>
      <w:r w:rsidRPr="007C0A06">
        <w:rPr>
          <w:rFonts w:asciiTheme="minorHAnsi" w:hAnsiTheme="minorHAnsi"/>
          <w:b/>
          <w:lang w:val="es-EC"/>
        </w:rPr>
        <w:t xml:space="preserve">SECRETARIA GENERAL.- </w:t>
      </w:r>
      <w:r w:rsidRPr="007C0A06">
        <w:rPr>
          <w:rFonts w:asciiTheme="minorHAnsi" w:hAnsiTheme="minorHAnsi"/>
          <w:lang w:val="es-EC"/>
        </w:rPr>
        <w:t>Sancionó y ordenó la promulgación a través de su publicación</w:t>
      </w:r>
      <w:r w:rsidRPr="007C0A06">
        <w:rPr>
          <w:rFonts w:asciiTheme="minorHAnsi" w:hAnsiTheme="minorHAnsi" w:cs="Arial-BoldMT"/>
          <w:b/>
          <w:bCs/>
          <w:lang w:val="es-EC"/>
        </w:rPr>
        <w:t xml:space="preserve"> LA</w:t>
      </w:r>
      <w:r w:rsidR="00C92365">
        <w:rPr>
          <w:rFonts w:asciiTheme="minorHAnsi" w:hAnsiTheme="minorHAnsi" w:cs="Arial-BoldMT"/>
          <w:b/>
          <w:bCs/>
          <w:lang w:val="es-EC"/>
        </w:rPr>
        <w:t xml:space="preserve"> </w:t>
      </w:r>
      <w:r w:rsidR="00C92365" w:rsidRPr="0025597B">
        <w:rPr>
          <w:rFonts w:asciiTheme="minorHAnsi" w:hAnsiTheme="minorHAnsi"/>
          <w:b/>
          <w:lang w:val="es-ES_tradnl"/>
        </w:rPr>
        <w:t xml:space="preserve">ORDENANZA QUE </w:t>
      </w:r>
      <w:r w:rsidR="00C92365" w:rsidRPr="0025597B">
        <w:rPr>
          <w:rFonts w:asciiTheme="minorHAnsi" w:hAnsiTheme="minorHAnsi"/>
          <w:b/>
          <w:lang w:val="es-EC"/>
        </w:rPr>
        <w:t>REGULA</w:t>
      </w:r>
      <w:r w:rsidR="00C92365" w:rsidRPr="0025597B">
        <w:rPr>
          <w:rFonts w:asciiTheme="minorHAnsi" w:hAnsiTheme="minorHAnsi"/>
          <w:b/>
          <w:lang w:val="es-ES"/>
        </w:rPr>
        <w:t xml:space="preserve"> LA FORMACIÓN DE LOS CATASTROS PREDIALES URBANOS Y RURALES, LA DETERMINACIÓN, ADMINISTRACIÓN Y RECAUDACIÓN DEL IMPUESTO A LOS PREDIOS URBANOS Y RURALES PARA EL BIENIO 2018-2019</w:t>
      </w:r>
      <w:r w:rsidR="00C92365">
        <w:rPr>
          <w:rFonts w:asciiTheme="minorHAnsi" w:hAnsiTheme="minorHAnsi"/>
          <w:b/>
          <w:lang w:val="es-ES"/>
        </w:rPr>
        <w:t xml:space="preserve"> DEL</w:t>
      </w:r>
      <w:r w:rsidR="00C92365" w:rsidRPr="0025597B">
        <w:rPr>
          <w:rFonts w:asciiTheme="minorHAnsi" w:hAnsiTheme="minorHAnsi"/>
          <w:b/>
          <w:lang w:val="es-ES"/>
        </w:rPr>
        <w:t xml:space="preserve"> CANTÓN GUARANDA</w:t>
      </w:r>
      <w:r w:rsidRPr="007C0A06">
        <w:rPr>
          <w:rFonts w:asciiTheme="minorHAnsi" w:hAnsiTheme="minorHAnsi"/>
          <w:b/>
          <w:bCs/>
          <w:lang w:val="es-EC"/>
        </w:rPr>
        <w:t xml:space="preserve">, </w:t>
      </w:r>
      <w:r w:rsidRPr="007C0A06">
        <w:rPr>
          <w:rFonts w:asciiTheme="minorHAnsi" w:hAnsiTheme="minorHAnsi"/>
          <w:bCs/>
          <w:lang w:val="es-EC"/>
        </w:rPr>
        <w:t>el señor Ramsses Torres Espinosa, Alcalde del cant</w:t>
      </w:r>
      <w:r w:rsidR="00C92365">
        <w:rPr>
          <w:rFonts w:asciiTheme="minorHAnsi" w:hAnsiTheme="minorHAnsi"/>
          <w:bCs/>
          <w:lang w:val="es-EC"/>
        </w:rPr>
        <w:t>ón Guaranda, a los veinte y nueve</w:t>
      </w:r>
      <w:r w:rsidRPr="007C0A06">
        <w:rPr>
          <w:rFonts w:asciiTheme="minorHAnsi" w:hAnsiTheme="minorHAnsi"/>
          <w:bCs/>
          <w:lang w:val="es-EC"/>
        </w:rPr>
        <w:t xml:space="preserve"> días del me</w:t>
      </w:r>
      <w:r w:rsidR="00C92365">
        <w:rPr>
          <w:rFonts w:asciiTheme="minorHAnsi" w:hAnsiTheme="minorHAnsi"/>
          <w:bCs/>
          <w:lang w:val="es-EC"/>
        </w:rPr>
        <w:t>s de diciembre</w:t>
      </w:r>
      <w:r>
        <w:rPr>
          <w:rFonts w:asciiTheme="minorHAnsi" w:hAnsiTheme="minorHAnsi"/>
          <w:bCs/>
          <w:lang w:val="es-EC"/>
        </w:rPr>
        <w:t xml:space="preserve"> del dos mil diecisiete</w:t>
      </w:r>
      <w:r w:rsidRPr="007C0A06">
        <w:rPr>
          <w:rFonts w:asciiTheme="minorHAnsi" w:hAnsiTheme="minorHAnsi"/>
          <w:bCs/>
          <w:lang w:val="es-EC"/>
        </w:rPr>
        <w:t>.</w:t>
      </w:r>
    </w:p>
    <w:p w:rsidR="00D61D83" w:rsidRPr="007C0A06" w:rsidRDefault="00C92365" w:rsidP="00C92365">
      <w:pPr>
        <w:tabs>
          <w:tab w:val="left" w:pos="1178"/>
        </w:tabs>
        <w:spacing w:after="0"/>
        <w:jc w:val="both"/>
        <w:rPr>
          <w:sz w:val="24"/>
          <w:szCs w:val="24"/>
        </w:rPr>
      </w:pPr>
      <w:r>
        <w:rPr>
          <w:sz w:val="24"/>
          <w:szCs w:val="24"/>
        </w:rPr>
        <w:t xml:space="preserve"> Guaranda, 29 de diciembre</w:t>
      </w:r>
      <w:r w:rsidR="00D61D83">
        <w:rPr>
          <w:sz w:val="24"/>
          <w:szCs w:val="24"/>
        </w:rPr>
        <w:t xml:space="preserve">  del 2017</w:t>
      </w:r>
      <w:r w:rsidR="00D61D83" w:rsidRPr="007C0A06">
        <w:rPr>
          <w:sz w:val="24"/>
          <w:szCs w:val="24"/>
        </w:rPr>
        <w:t>.</w:t>
      </w:r>
    </w:p>
    <w:p w:rsidR="00D61D83" w:rsidRPr="007C0A06" w:rsidRDefault="00D61D83" w:rsidP="00D61D83">
      <w:pPr>
        <w:tabs>
          <w:tab w:val="left" w:pos="1178"/>
        </w:tabs>
        <w:spacing w:after="0" w:line="360" w:lineRule="auto"/>
        <w:jc w:val="both"/>
        <w:rPr>
          <w:sz w:val="24"/>
          <w:szCs w:val="24"/>
        </w:rPr>
      </w:pPr>
    </w:p>
    <w:p w:rsidR="00D61D83" w:rsidRPr="007C0A06" w:rsidRDefault="00D61D83" w:rsidP="00D61D83">
      <w:pPr>
        <w:tabs>
          <w:tab w:val="left" w:pos="1178"/>
        </w:tabs>
        <w:jc w:val="both"/>
        <w:rPr>
          <w:sz w:val="24"/>
          <w:szCs w:val="24"/>
        </w:rPr>
      </w:pPr>
    </w:p>
    <w:p w:rsidR="00D61D83" w:rsidRPr="007C0A06" w:rsidRDefault="00D61D83" w:rsidP="00C92365">
      <w:pPr>
        <w:tabs>
          <w:tab w:val="left" w:pos="1178"/>
        </w:tabs>
        <w:spacing w:after="0" w:line="240" w:lineRule="auto"/>
        <w:jc w:val="center"/>
        <w:rPr>
          <w:b/>
          <w:sz w:val="24"/>
          <w:szCs w:val="24"/>
        </w:rPr>
      </w:pPr>
      <w:r w:rsidRPr="007C0A06">
        <w:rPr>
          <w:b/>
          <w:sz w:val="24"/>
          <w:szCs w:val="24"/>
        </w:rPr>
        <w:t>DR. MIGUEL ANGEL LEÓN Z.</w:t>
      </w:r>
    </w:p>
    <w:p w:rsidR="00D61D83" w:rsidRPr="007C0A06" w:rsidRDefault="00D61D83" w:rsidP="00C92365">
      <w:pPr>
        <w:tabs>
          <w:tab w:val="left" w:pos="1178"/>
        </w:tabs>
        <w:spacing w:after="0" w:line="240" w:lineRule="auto"/>
        <w:jc w:val="center"/>
        <w:rPr>
          <w:b/>
          <w:sz w:val="24"/>
          <w:szCs w:val="24"/>
        </w:rPr>
      </w:pPr>
      <w:r w:rsidRPr="007C0A06">
        <w:rPr>
          <w:b/>
          <w:sz w:val="24"/>
          <w:szCs w:val="24"/>
        </w:rPr>
        <w:t>SECRETARIO DE CONCEJO.</w:t>
      </w:r>
    </w:p>
    <w:p w:rsidR="00D61D83" w:rsidRPr="00190C70" w:rsidRDefault="00D61D83" w:rsidP="00A6400A">
      <w:pPr>
        <w:spacing w:after="0"/>
        <w:jc w:val="both"/>
        <w:rPr>
          <w:rFonts w:cs="Arial"/>
          <w:sz w:val="24"/>
          <w:szCs w:val="24"/>
        </w:rPr>
      </w:pPr>
    </w:p>
    <w:p w:rsidR="00922D24" w:rsidRPr="00190C70" w:rsidRDefault="00922D24" w:rsidP="00922D24">
      <w:pPr>
        <w:spacing w:after="0" w:line="240" w:lineRule="auto"/>
        <w:jc w:val="both"/>
        <w:rPr>
          <w:rFonts w:cs="Arial"/>
          <w:sz w:val="24"/>
          <w:szCs w:val="24"/>
        </w:rPr>
      </w:pPr>
    </w:p>
    <w:p w:rsidR="00922D24" w:rsidRDefault="00922D24" w:rsidP="00922D24">
      <w:pPr>
        <w:tabs>
          <w:tab w:val="left" w:pos="1178"/>
        </w:tabs>
        <w:spacing w:line="360" w:lineRule="auto"/>
        <w:jc w:val="both"/>
        <w:rPr>
          <w:rFonts w:cs="Arial"/>
          <w:sz w:val="24"/>
          <w:szCs w:val="24"/>
        </w:rPr>
      </w:pPr>
    </w:p>
    <w:p w:rsidR="00C92365" w:rsidRDefault="00C92365" w:rsidP="00922D24">
      <w:pPr>
        <w:tabs>
          <w:tab w:val="left" w:pos="1178"/>
        </w:tabs>
        <w:spacing w:line="360" w:lineRule="auto"/>
        <w:jc w:val="both"/>
        <w:rPr>
          <w:rFonts w:cs="Arial"/>
          <w:sz w:val="24"/>
          <w:szCs w:val="24"/>
        </w:rPr>
      </w:pPr>
      <w:bookmarkStart w:id="0" w:name="_GoBack"/>
      <w:bookmarkEnd w:id="0"/>
    </w:p>
    <w:sectPr w:rsidR="00C92365">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806" w:rsidRDefault="00531806" w:rsidP="00B52A25">
      <w:pPr>
        <w:spacing w:after="0" w:line="240" w:lineRule="auto"/>
      </w:pPr>
      <w:r>
        <w:separator/>
      </w:r>
    </w:p>
  </w:endnote>
  <w:endnote w:type="continuationSeparator" w:id="0">
    <w:p w:rsidR="00531806" w:rsidRDefault="00531806" w:rsidP="00B52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C70" w:rsidRPr="00FF3EA5" w:rsidRDefault="00190C70" w:rsidP="00B52A25">
    <w:pPr>
      <w:spacing w:after="0"/>
      <w:jc w:val="right"/>
      <w:rPr>
        <w:rFonts w:ascii="Century Gothic" w:hAnsi="Century Gothic"/>
        <w:sz w:val="16"/>
        <w:szCs w:val="16"/>
      </w:rPr>
    </w:pPr>
    <w:r>
      <w:rPr>
        <w:noProof/>
      </w:rPr>
      <w:drawing>
        <wp:anchor distT="0" distB="0" distL="114300" distR="114300" simplePos="0" relativeHeight="251658240" behindDoc="0" locked="0" layoutInCell="1" allowOverlap="1" wp14:anchorId="08C78CC3" wp14:editId="6A6FBC2D">
          <wp:simplePos x="0" y="0"/>
          <wp:positionH relativeFrom="column">
            <wp:posOffset>-647396</wp:posOffset>
          </wp:positionH>
          <wp:positionV relativeFrom="paragraph">
            <wp:posOffset>-444500</wp:posOffset>
          </wp:positionV>
          <wp:extent cx="2273935" cy="1292860"/>
          <wp:effectExtent l="0" t="0" r="0" b="0"/>
          <wp:wrapNone/>
          <wp:docPr id="7" name="Imagen 7" descr="K:\hoja alcaldia\logo g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oja alcaldia\logo g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935" cy="1292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B92F20C" wp14:editId="2F5C9F2F">
          <wp:simplePos x="0" y="0"/>
          <wp:positionH relativeFrom="column">
            <wp:posOffset>5740704</wp:posOffset>
          </wp:positionH>
          <wp:positionV relativeFrom="paragraph">
            <wp:posOffset>-503555</wp:posOffset>
          </wp:positionV>
          <wp:extent cx="95250" cy="1372870"/>
          <wp:effectExtent l="0" t="0" r="0" b="0"/>
          <wp:wrapNone/>
          <wp:docPr id="8" name="Imagen 8" descr="K:\hoja alcaldia\ba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hoja alcaldia\barr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EA5">
      <w:rPr>
        <w:rFonts w:ascii="Century Gothic" w:hAnsi="Century Gothic"/>
        <w:sz w:val="16"/>
        <w:szCs w:val="16"/>
      </w:rPr>
      <w:t xml:space="preserve"> Dirección Convención de 1884 No. 1018 y García Moreno</w:t>
    </w:r>
  </w:p>
  <w:p w:rsidR="00190C70" w:rsidRPr="00FF3EA5" w:rsidRDefault="00190C70" w:rsidP="00B52A25">
    <w:pPr>
      <w:spacing w:after="0"/>
      <w:jc w:val="right"/>
      <w:rPr>
        <w:rFonts w:ascii="Century Gothic" w:hAnsi="Century Gothic"/>
        <w:sz w:val="16"/>
        <w:szCs w:val="16"/>
      </w:rPr>
    </w:pPr>
    <w:r w:rsidRPr="00FF3EA5">
      <w:rPr>
        <w:rFonts w:ascii="Century Gothic" w:hAnsi="Century Gothic"/>
        <w:sz w:val="16"/>
        <w:szCs w:val="16"/>
      </w:rPr>
      <w:t>Teléfonos: (03) 2980321 – (03) 2981643</w:t>
    </w:r>
  </w:p>
  <w:p w:rsidR="00190C70" w:rsidRDefault="00190C70" w:rsidP="00B52A25">
    <w:pPr>
      <w:spacing w:after="0"/>
      <w:jc w:val="right"/>
      <w:rPr>
        <w:rFonts w:ascii="Century Gothic" w:hAnsi="Century Gothic"/>
        <w:sz w:val="16"/>
        <w:szCs w:val="16"/>
      </w:rPr>
    </w:pPr>
    <w:r w:rsidRPr="00FF3EA5">
      <w:rPr>
        <w:rFonts w:ascii="Century Gothic" w:hAnsi="Century Gothic"/>
        <w:sz w:val="16"/>
        <w:szCs w:val="16"/>
      </w:rPr>
      <w:t>E-mail: alcaldiagda@gmail.com</w:t>
    </w:r>
  </w:p>
  <w:p w:rsidR="00190C70" w:rsidRDefault="00190C70" w:rsidP="00E36418">
    <w:pPr>
      <w:tabs>
        <w:tab w:val="left" w:pos="3940"/>
      </w:tabs>
      <w:spacing w:after="0"/>
      <w:rPr>
        <w:rFonts w:ascii="Century Gothic" w:hAnsi="Century Gothic"/>
        <w:sz w:val="16"/>
        <w:szCs w:val="16"/>
      </w:rPr>
    </w:pPr>
    <w:r>
      <w:rPr>
        <w:rFonts w:ascii="Century Gothic" w:hAnsi="Century Gothic"/>
        <w:sz w:val="16"/>
        <w:szCs w:val="16"/>
      </w:rPr>
      <w:tab/>
    </w:r>
  </w:p>
  <w:p w:rsidR="00190C70" w:rsidRPr="00FF3EA5" w:rsidRDefault="00190C70" w:rsidP="00B52A25">
    <w:pPr>
      <w:spacing w:after="0"/>
      <w:jc w:val="right"/>
      <w:rPr>
        <w:rFonts w:ascii="Century Gothic" w:hAnsi="Century Gothic"/>
        <w:sz w:val="16"/>
        <w:szCs w:val="16"/>
      </w:rPr>
    </w:pPr>
    <w:r w:rsidRPr="00FF3EA5">
      <w:rPr>
        <w:rFonts w:ascii="Century Gothic" w:hAnsi="Century Gothic"/>
        <w:sz w:val="16"/>
        <w:szCs w:val="16"/>
      </w:rPr>
      <w:t>www.guaranda.gob.ec</w:t>
    </w:r>
  </w:p>
  <w:p w:rsidR="00190C70" w:rsidRDefault="00190C7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806" w:rsidRDefault="00531806" w:rsidP="00B52A25">
      <w:pPr>
        <w:spacing w:after="0" w:line="240" w:lineRule="auto"/>
      </w:pPr>
      <w:r>
        <w:separator/>
      </w:r>
    </w:p>
  </w:footnote>
  <w:footnote w:type="continuationSeparator" w:id="0">
    <w:p w:rsidR="00531806" w:rsidRDefault="00531806" w:rsidP="00B52A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C70" w:rsidRDefault="00190C70" w:rsidP="00B52A25">
    <w:pPr>
      <w:pStyle w:val="Encabezado"/>
      <w:rPr>
        <w:noProof/>
        <w:lang w:eastAsia="es-EC"/>
      </w:rPr>
    </w:pPr>
    <w:r>
      <w:rPr>
        <w:noProof/>
        <w:lang w:eastAsia="es-EC"/>
      </w:rPr>
      <w:drawing>
        <wp:anchor distT="0" distB="0" distL="114300" distR="114300" simplePos="0" relativeHeight="251656192" behindDoc="0" locked="0" layoutInCell="1" allowOverlap="1" wp14:anchorId="61C4E7D1" wp14:editId="59FE386D">
          <wp:simplePos x="0" y="0"/>
          <wp:positionH relativeFrom="column">
            <wp:posOffset>2264714</wp:posOffset>
          </wp:positionH>
          <wp:positionV relativeFrom="paragraph">
            <wp:posOffset>-132080</wp:posOffset>
          </wp:positionV>
          <wp:extent cx="1025719" cy="1025719"/>
          <wp:effectExtent l="0" t="0" r="0" b="0"/>
          <wp:wrapNone/>
          <wp:docPr id="6" name="Imagen 6" descr="K:\hoja alcaldia\logo ciu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ja alcaldia\logo ciud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5719" cy="10257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0C70" w:rsidRDefault="00190C70" w:rsidP="00B52A25">
    <w:pPr>
      <w:pStyle w:val="Encabezado"/>
      <w:rPr>
        <w:noProof/>
        <w:lang w:eastAsia="es-EC"/>
      </w:rPr>
    </w:pPr>
  </w:p>
  <w:p w:rsidR="00190C70" w:rsidRDefault="00190C70" w:rsidP="00B52A25">
    <w:pPr>
      <w:pStyle w:val="Encabezado"/>
      <w:rPr>
        <w:noProof/>
        <w:lang w:eastAsia="es-EC"/>
      </w:rPr>
    </w:pPr>
  </w:p>
  <w:p w:rsidR="00190C70" w:rsidRDefault="00190C70" w:rsidP="00B52A25">
    <w:pPr>
      <w:pStyle w:val="Encabezado"/>
      <w:rPr>
        <w:noProof/>
        <w:lang w:eastAsia="es-EC"/>
      </w:rPr>
    </w:pPr>
  </w:p>
  <w:p w:rsidR="00190C70" w:rsidRDefault="00190C70" w:rsidP="00B52A25">
    <w:pPr>
      <w:pStyle w:val="Encabezado"/>
      <w:rPr>
        <w:noProof/>
        <w:lang w:eastAsia="es-EC"/>
      </w:rPr>
    </w:pPr>
  </w:p>
  <w:p w:rsidR="00190C70" w:rsidRDefault="00190C70" w:rsidP="00B52A25">
    <w:pPr>
      <w:pStyle w:val="Encabezado"/>
      <w:jc w:val="center"/>
      <w:rPr>
        <w:rFonts w:ascii="Century Gothic" w:hAnsi="Century Gothic"/>
        <w:noProof/>
        <w:sz w:val="26"/>
        <w:szCs w:val="26"/>
        <w:lang w:eastAsia="es-EC"/>
      </w:rPr>
    </w:pPr>
    <w:r w:rsidRPr="00FF3EA5">
      <w:rPr>
        <w:rFonts w:ascii="Century Gothic" w:hAnsi="Century Gothic"/>
        <w:noProof/>
        <w:sz w:val="26"/>
        <w:szCs w:val="26"/>
        <w:lang w:eastAsia="es-EC"/>
      </w:rPr>
      <w:t>Gobierno Autónomo Descentralizado</w:t>
    </w:r>
  </w:p>
  <w:p w:rsidR="00190C70" w:rsidRPr="00FF3EA5" w:rsidRDefault="00190C70" w:rsidP="00B52A25">
    <w:pPr>
      <w:pStyle w:val="Encabezado"/>
      <w:jc w:val="center"/>
      <w:rPr>
        <w:rFonts w:ascii="Century Gothic" w:hAnsi="Century Gothic"/>
        <w:b/>
        <w:noProof/>
        <w:sz w:val="20"/>
        <w:szCs w:val="20"/>
        <w:lang w:eastAsia="es-EC"/>
      </w:rPr>
    </w:pPr>
    <w:r>
      <w:rPr>
        <w:rFonts w:ascii="Century Gothic" w:hAnsi="Century Gothic"/>
        <w:b/>
        <w:noProof/>
        <w:sz w:val="20"/>
        <w:szCs w:val="20"/>
        <w:lang w:eastAsia="es-EC"/>
      </w:rPr>
      <w:t xml:space="preserve">CONCEJO MUNICIPAL </w:t>
    </w:r>
  </w:p>
  <w:p w:rsidR="00190C70" w:rsidRDefault="00190C7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lowerLetter"/>
      <w:lvlText w:val="%1)"/>
      <w:lvlJc w:val="left"/>
      <w:pPr>
        <w:tabs>
          <w:tab w:val="num" w:pos="1410"/>
        </w:tabs>
        <w:ind w:left="1410" w:hanging="705"/>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148E48F0"/>
    <w:multiLevelType w:val="hybridMultilevel"/>
    <w:tmpl w:val="0D1AFB82"/>
    <w:lvl w:ilvl="0" w:tplc="6EC8710E">
      <w:start w:val="1"/>
      <w:numFmt w:val="decimal"/>
      <w:lvlText w:val="%1."/>
      <w:lvlJc w:val="left"/>
      <w:pPr>
        <w:ind w:left="720" w:hanging="360"/>
      </w:pPr>
      <w:rPr>
        <w:rFonts w:asciiTheme="minorHAnsi" w:eastAsiaTheme="minorEastAsia" w:hAnsiTheme="minorHAnsi" w:cstheme="minorBidi"/>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nsid w:val="1DC96967"/>
    <w:multiLevelType w:val="hybridMultilevel"/>
    <w:tmpl w:val="B958F81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232E65CD"/>
    <w:multiLevelType w:val="hybridMultilevel"/>
    <w:tmpl w:val="444EEB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7FB0202"/>
    <w:multiLevelType w:val="hybridMultilevel"/>
    <w:tmpl w:val="A072DA4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30D64155"/>
    <w:multiLevelType w:val="hybridMultilevel"/>
    <w:tmpl w:val="93047EC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34805260"/>
    <w:multiLevelType w:val="hybridMultilevel"/>
    <w:tmpl w:val="922AB864"/>
    <w:lvl w:ilvl="0" w:tplc="300A0019">
      <w:start w:val="4"/>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3C7812C8"/>
    <w:multiLevelType w:val="hybridMultilevel"/>
    <w:tmpl w:val="7528023E"/>
    <w:lvl w:ilvl="0" w:tplc="08FCE4CA">
      <w:start w:val="1"/>
      <w:numFmt w:val="decimal"/>
      <w:lvlText w:val="%1."/>
      <w:lvlJc w:val="left"/>
      <w:pPr>
        <w:ind w:left="1080" w:hanging="360"/>
      </w:pPr>
      <w:rPr>
        <w:rFonts w:asciiTheme="minorHAnsi" w:eastAsiaTheme="minorEastAsia" w:hAnsiTheme="minorHAnsi" w:cstheme="minorBidi"/>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nsid w:val="411330FE"/>
    <w:multiLevelType w:val="hybridMultilevel"/>
    <w:tmpl w:val="908CCF3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443850F4"/>
    <w:multiLevelType w:val="hybridMultilevel"/>
    <w:tmpl w:val="D7E4C65A"/>
    <w:lvl w:ilvl="0" w:tplc="E9B2D1A8">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46C8269C"/>
    <w:multiLevelType w:val="hybridMultilevel"/>
    <w:tmpl w:val="9E92D26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8DF4EA0"/>
    <w:multiLevelType w:val="hybridMultilevel"/>
    <w:tmpl w:val="C40A4F38"/>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5BB2F8B"/>
    <w:multiLevelType w:val="hybridMultilevel"/>
    <w:tmpl w:val="A0E851D4"/>
    <w:lvl w:ilvl="0" w:tplc="B7280B62">
      <w:start w:val="1"/>
      <w:numFmt w:val="decimal"/>
      <w:lvlText w:val="%1."/>
      <w:lvlJc w:val="left"/>
      <w:pPr>
        <w:ind w:left="720" w:hanging="360"/>
      </w:pPr>
      <w:rPr>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nsid w:val="5D850EB7"/>
    <w:multiLevelType w:val="hybridMultilevel"/>
    <w:tmpl w:val="AF9EB4F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70041120"/>
    <w:multiLevelType w:val="hybridMultilevel"/>
    <w:tmpl w:val="90D4875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770716A0"/>
    <w:multiLevelType w:val="hybridMultilevel"/>
    <w:tmpl w:val="5C22E25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nsid w:val="77A3781D"/>
    <w:multiLevelType w:val="hybridMultilevel"/>
    <w:tmpl w:val="A9B65CD0"/>
    <w:lvl w:ilvl="0" w:tplc="C00864E2">
      <w:start w:val="1"/>
      <w:numFmt w:val="decimal"/>
      <w:lvlText w:val="%1."/>
      <w:lvlJc w:val="left"/>
      <w:pPr>
        <w:ind w:left="1065" w:hanging="360"/>
      </w:pPr>
      <w:rPr>
        <w:rFonts w:hint="default"/>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abstractNum w:abstractNumId="18">
    <w:nsid w:val="79E50E49"/>
    <w:multiLevelType w:val="hybridMultilevel"/>
    <w:tmpl w:val="63EA9EC2"/>
    <w:lvl w:ilvl="0" w:tplc="08FCE4CA">
      <w:start w:val="1"/>
      <w:numFmt w:val="decimal"/>
      <w:lvlText w:val="%1."/>
      <w:lvlJc w:val="left"/>
      <w:pPr>
        <w:ind w:left="720" w:hanging="360"/>
      </w:pPr>
      <w:rPr>
        <w:rFonts w:asciiTheme="minorHAnsi" w:eastAsiaTheme="minorEastAsia" w:hAnsiTheme="minorHAnsi" w:cstheme="minorBidi"/>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3"/>
  </w:num>
  <w:num w:numId="2">
    <w:abstractNumId w:val="18"/>
  </w:num>
  <w:num w:numId="3">
    <w:abstractNumId w:val="8"/>
  </w:num>
  <w:num w:numId="4">
    <w:abstractNumId w:val="2"/>
  </w:num>
  <w:num w:numId="5">
    <w:abstractNumId w:val="6"/>
  </w:num>
  <w:num w:numId="6">
    <w:abstractNumId w:val="15"/>
  </w:num>
  <w:num w:numId="7">
    <w:abstractNumId w:val="0"/>
  </w:num>
  <w:num w:numId="8">
    <w:abstractNumId w:val="1"/>
  </w:num>
  <w:num w:numId="9">
    <w:abstractNumId w:val="4"/>
  </w:num>
  <w:num w:numId="10">
    <w:abstractNumId w:val="12"/>
  </w:num>
  <w:num w:numId="11">
    <w:abstractNumId w:val="11"/>
  </w:num>
  <w:num w:numId="12">
    <w:abstractNumId w:val="7"/>
  </w:num>
  <w:num w:numId="13">
    <w:abstractNumId w:val="14"/>
  </w:num>
  <w:num w:numId="14">
    <w:abstractNumId w:val="5"/>
  </w:num>
  <w:num w:numId="15">
    <w:abstractNumId w:val="10"/>
  </w:num>
  <w:num w:numId="16">
    <w:abstractNumId w:val="17"/>
  </w:num>
  <w:num w:numId="17">
    <w:abstractNumId w:val="9"/>
  </w:num>
  <w:num w:numId="18">
    <w:abstractNumId w:val="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A25"/>
    <w:rsid w:val="00003147"/>
    <w:rsid w:val="000340B1"/>
    <w:rsid w:val="000402B0"/>
    <w:rsid w:val="00054777"/>
    <w:rsid w:val="00064320"/>
    <w:rsid w:val="000740DB"/>
    <w:rsid w:val="00092CC7"/>
    <w:rsid w:val="000B4F38"/>
    <w:rsid w:val="000C7EC8"/>
    <w:rsid w:val="000D6851"/>
    <w:rsid w:val="000F1FC2"/>
    <w:rsid w:val="00100F5E"/>
    <w:rsid w:val="001069A7"/>
    <w:rsid w:val="001330CD"/>
    <w:rsid w:val="001378B3"/>
    <w:rsid w:val="001476E3"/>
    <w:rsid w:val="0015220B"/>
    <w:rsid w:val="00161D00"/>
    <w:rsid w:val="00161E88"/>
    <w:rsid w:val="0018165D"/>
    <w:rsid w:val="0018576F"/>
    <w:rsid w:val="00190C70"/>
    <w:rsid w:val="001A0FD1"/>
    <w:rsid w:val="001B0AFF"/>
    <w:rsid w:val="001E1D39"/>
    <w:rsid w:val="001F5810"/>
    <w:rsid w:val="002019A0"/>
    <w:rsid w:val="002033D8"/>
    <w:rsid w:val="00214037"/>
    <w:rsid w:val="00237A58"/>
    <w:rsid w:val="00247F9B"/>
    <w:rsid w:val="0025597B"/>
    <w:rsid w:val="00282E0F"/>
    <w:rsid w:val="0028379E"/>
    <w:rsid w:val="002D1205"/>
    <w:rsid w:val="002D395D"/>
    <w:rsid w:val="002E26F7"/>
    <w:rsid w:val="002F06BC"/>
    <w:rsid w:val="002F3339"/>
    <w:rsid w:val="002F5713"/>
    <w:rsid w:val="00301A92"/>
    <w:rsid w:val="003029D4"/>
    <w:rsid w:val="00304CFF"/>
    <w:rsid w:val="00307353"/>
    <w:rsid w:val="003100B1"/>
    <w:rsid w:val="00324C6B"/>
    <w:rsid w:val="0034239C"/>
    <w:rsid w:val="003503DD"/>
    <w:rsid w:val="00377158"/>
    <w:rsid w:val="003B5033"/>
    <w:rsid w:val="003D7277"/>
    <w:rsid w:val="003E288F"/>
    <w:rsid w:val="003F026E"/>
    <w:rsid w:val="00430275"/>
    <w:rsid w:val="00437296"/>
    <w:rsid w:val="0045573B"/>
    <w:rsid w:val="00466AEA"/>
    <w:rsid w:val="0047620F"/>
    <w:rsid w:val="0048435B"/>
    <w:rsid w:val="00485547"/>
    <w:rsid w:val="00492A17"/>
    <w:rsid w:val="004E5DA3"/>
    <w:rsid w:val="0051648A"/>
    <w:rsid w:val="00524C53"/>
    <w:rsid w:val="00526D9D"/>
    <w:rsid w:val="00531806"/>
    <w:rsid w:val="005318FD"/>
    <w:rsid w:val="00537516"/>
    <w:rsid w:val="00540BED"/>
    <w:rsid w:val="005415FF"/>
    <w:rsid w:val="0054485D"/>
    <w:rsid w:val="00551039"/>
    <w:rsid w:val="0055631E"/>
    <w:rsid w:val="00560C41"/>
    <w:rsid w:val="0057013C"/>
    <w:rsid w:val="00580015"/>
    <w:rsid w:val="00584C26"/>
    <w:rsid w:val="0058594C"/>
    <w:rsid w:val="00596159"/>
    <w:rsid w:val="005C5A97"/>
    <w:rsid w:val="005D2C0B"/>
    <w:rsid w:val="005D79EC"/>
    <w:rsid w:val="005F1ED8"/>
    <w:rsid w:val="005F2323"/>
    <w:rsid w:val="0060099F"/>
    <w:rsid w:val="0061629D"/>
    <w:rsid w:val="0062504E"/>
    <w:rsid w:val="00636B22"/>
    <w:rsid w:val="00642A63"/>
    <w:rsid w:val="00655131"/>
    <w:rsid w:val="006A496A"/>
    <w:rsid w:val="006B0EF5"/>
    <w:rsid w:val="006B1AEE"/>
    <w:rsid w:val="006B633F"/>
    <w:rsid w:val="006C1E53"/>
    <w:rsid w:val="006C2FDD"/>
    <w:rsid w:val="006D53FE"/>
    <w:rsid w:val="006D7182"/>
    <w:rsid w:val="00706B4A"/>
    <w:rsid w:val="00715A7A"/>
    <w:rsid w:val="00727F01"/>
    <w:rsid w:val="00757591"/>
    <w:rsid w:val="00766D4C"/>
    <w:rsid w:val="0077274E"/>
    <w:rsid w:val="00774577"/>
    <w:rsid w:val="007858B3"/>
    <w:rsid w:val="007874C7"/>
    <w:rsid w:val="007B0A09"/>
    <w:rsid w:val="007F6A9A"/>
    <w:rsid w:val="00801E46"/>
    <w:rsid w:val="008115EF"/>
    <w:rsid w:val="00812FE1"/>
    <w:rsid w:val="008340AB"/>
    <w:rsid w:val="00835EA6"/>
    <w:rsid w:val="00852C0A"/>
    <w:rsid w:val="00885938"/>
    <w:rsid w:val="00886D9B"/>
    <w:rsid w:val="008957CE"/>
    <w:rsid w:val="008E6B8C"/>
    <w:rsid w:val="008F15AC"/>
    <w:rsid w:val="008F1811"/>
    <w:rsid w:val="008F3EB4"/>
    <w:rsid w:val="009122F8"/>
    <w:rsid w:val="00922D24"/>
    <w:rsid w:val="00927150"/>
    <w:rsid w:val="00955B43"/>
    <w:rsid w:val="00963C32"/>
    <w:rsid w:val="009668EC"/>
    <w:rsid w:val="0099074B"/>
    <w:rsid w:val="00997A34"/>
    <w:rsid w:val="009A1B1F"/>
    <w:rsid w:val="009A25FC"/>
    <w:rsid w:val="009B1C18"/>
    <w:rsid w:val="009B3BBD"/>
    <w:rsid w:val="009C4E25"/>
    <w:rsid w:val="009C717B"/>
    <w:rsid w:val="009C7274"/>
    <w:rsid w:val="009D1910"/>
    <w:rsid w:val="009D65B6"/>
    <w:rsid w:val="009F5159"/>
    <w:rsid w:val="009F6F46"/>
    <w:rsid w:val="00A054E5"/>
    <w:rsid w:val="00A63649"/>
    <w:rsid w:val="00A6400A"/>
    <w:rsid w:val="00A7089A"/>
    <w:rsid w:val="00A71F9F"/>
    <w:rsid w:val="00A90572"/>
    <w:rsid w:val="00AC51B4"/>
    <w:rsid w:val="00AD057E"/>
    <w:rsid w:val="00AD2D03"/>
    <w:rsid w:val="00AE45B1"/>
    <w:rsid w:val="00B03263"/>
    <w:rsid w:val="00B21BA0"/>
    <w:rsid w:val="00B30D7C"/>
    <w:rsid w:val="00B334E6"/>
    <w:rsid w:val="00B52A25"/>
    <w:rsid w:val="00B61557"/>
    <w:rsid w:val="00B62FE6"/>
    <w:rsid w:val="00B65F00"/>
    <w:rsid w:val="00B75A9D"/>
    <w:rsid w:val="00B818C6"/>
    <w:rsid w:val="00BA40E0"/>
    <w:rsid w:val="00BA6EC8"/>
    <w:rsid w:val="00BC54CC"/>
    <w:rsid w:val="00BE02DE"/>
    <w:rsid w:val="00BE7BF1"/>
    <w:rsid w:val="00BF6721"/>
    <w:rsid w:val="00C017BF"/>
    <w:rsid w:val="00C1042B"/>
    <w:rsid w:val="00C110FA"/>
    <w:rsid w:val="00C174A0"/>
    <w:rsid w:val="00C363C7"/>
    <w:rsid w:val="00C4592A"/>
    <w:rsid w:val="00C464A0"/>
    <w:rsid w:val="00C577E6"/>
    <w:rsid w:val="00C711DF"/>
    <w:rsid w:val="00C7462C"/>
    <w:rsid w:val="00C92365"/>
    <w:rsid w:val="00C939CC"/>
    <w:rsid w:val="00CB6501"/>
    <w:rsid w:val="00CB7685"/>
    <w:rsid w:val="00CC3FA5"/>
    <w:rsid w:val="00CC4835"/>
    <w:rsid w:val="00CF5F0C"/>
    <w:rsid w:val="00D02704"/>
    <w:rsid w:val="00D05418"/>
    <w:rsid w:val="00D1554C"/>
    <w:rsid w:val="00D20EAB"/>
    <w:rsid w:val="00D238E2"/>
    <w:rsid w:val="00D35A4C"/>
    <w:rsid w:val="00D51BEA"/>
    <w:rsid w:val="00D61D83"/>
    <w:rsid w:val="00D67C81"/>
    <w:rsid w:val="00D705FA"/>
    <w:rsid w:val="00D754F7"/>
    <w:rsid w:val="00D80CF3"/>
    <w:rsid w:val="00D943A7"/>
    <w:rsid w:val="00DB0C4E"/>
    <w:rsid w:val="00DB3110"/>
    <w:rsid w:val="00DB3F3D"/>
    <w:rsid w:val="00DC45F0"/>
    <w:rsid w:val="00DE2DAD"/>
    <w:rsid w:val="00DF6275"/>
    <w:rsid w:val="00E04F56"/>
    <w:rsid w:val="00E12D19"/>
    <w:rsid w:val="00E13591"/>
    <w:rsid w:val="00E257FA"/>
    <w:rsid w:val="00E35ECE"/>
    <w:rsid w:val="00E35F0F"/>
    <w:rsid w:val="00E36418"/>
    <w:rsid w:val="00E518ED"/>
    <w:rsid w:val="00E539C1"/>
    <w:rsid w:val="00E62F87"/>
    <w:rsid w:val="00E84774"/>
    <w:rsid w:val="00E902A2"/>
    <w:rsid w:val="00E94257"/>
    <w:rsid w:val="00EA1259"/>
    <w:rsid w:val="00EB63A8"/>
    <w:rsid w:val="00EB6818"/>
    <w:rsid w:val="00ED1417"/>
    <w:rsid w:val="00EE5002"/>
    <w:rsid w:val="00EE580B"/>
    <w:rsid w:val="00F014D6"/>
    <w:rsid w:val="00F64340"/>
    <w:rsid w:val="00F6466D"/>
    <w:rsid w:val="00F72119"/>
    <w:rsid w:val="00F85E5D"/>
    <w:rsid w:val="00F8706F"/>
    <w:rsid w:val="00F8760C"/>
    <w:rsid w:val="00F92552"/>
    <w:rsid w:val="00FB39D9"/>
    <w:rsid w:val="00FE5A0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62C"/>
    <w:rPr>
      <w:rFonts w:eastAsiaTheme="minorEastAsia"/>
      <w:lang w:eastAsia="es-EC"/>
    </w:rPr>
  </w:style>
  <w:style w:type="paragraph" w:styleId="Ttulo1">
    <w:name w:val="heading 1"/>
    <w:basedOn w:val="Normal"/>
    <w:next w:val="Normal"/>
    <w:link w:val="Ttulo1Car"/>
    <w:uiPriority w:val="9"/>
    <w:qFormat/>
    <w:rsid w:val="00282E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82E0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link w:val="Ttulo4Car"/>
    <w:uiPriority w:val="9"/>
    <w:qFormat/>
    <w:rsid w:val="00B21BA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B52A25"/>
  </w:style>
  <w:style w:type="paragraph" w:styleId="Piedepgina">
    <w:name w:val="footer"/>
    <w:basedOn w:val="Normal"/>
    <w:link w:val="Piedepgina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B52A25"/>
  </w:style>
  <w:style w:type="table" w:styleId="Tablaconcuadrcula">
    <w:name w:val="Table Grid"/>
    <w:basedOn w:val="Tablanormal"/>
    <w:uiPriority w:val="59"/>
    <w:rsid w:val="00C7462C"/>
    <w:pPr>
      <w:spacing w:after="0" w:line="240" w:lineRule="auto"/>
    </w:pPr>
    <w:rPr>
      <w:rFonts w:eastAsiaTheme="minorEastAsia"/>
      <w:lang w:eastAsia="es-EC"/>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uiPriority w:val="1"/>
    <w:qFormat/>
    <w:rsid w:val="0058594C"/>
    <w:pPr>
      <w:spacing w:after="0" w:line="240" w:lineRule="auto"/>
    </w:pPr>
  </w:style>
  <w:style w:type="character" w:customStyle="1" w:styleId="Ttulo1Car">
    <w:name w:val="Título 1 Car"/>
    <w:basedOn w:val="Fuentedeprrafopredeter"/>
    <w:link w:val="Ttulo1"/>
    <w:uiPriority w:val="9"/>
    <w:rsid w:val="00282E0F"/>
    <w:rPr>
      <w:rFonts w:asciiTheme="majorHAnsi" w:eastAsiaTheme="majorEastAsia" w:hAnsiTheme="majorHAnsi" w:cstheme="majorBidi"/>
      <w:b/>
      <w:bCs/>
      <w:color w:val="365F91" w:themeColor="accent1" w:themeShade="BF"/>
      <w:sz w:val="28"/>
      <w:szCs w:val="28"/>
      <w:lang w:eastAsia="es-EC"/>
    </w:rPr>
  </w:style>
  <w:style w:type="character" w:customStyle="1" w:styleId="Ttulo2Car">
    <w:name w:val="Título 2 Car"/>
    <w:basedOn w:val="Fuentedeprrafopredeter"/>
    <w:link w:val="Ttulo2"/>
    <w:uiPriority w:val="9"/>
    <w:rsid w:val="00282E0F"/>
    <w:rPr>
      <w:rFonts w:asciiTheme="majorHAnsi" w:eastAsiaTheme="majorEastAsia" w:hAnsiTheme="majorHAnsi" w:cstheme="majorBidi"/>
      <w:b/>
      <w:bCs/>
      <w:color w:val="4F81BD" w:themeColor="accent1"/>
      <w:sz w:val="26"/>
      <w:szCs w:val="26"/>
      <w:lang w:eastAsia="es-EC"/>
    </w:rPr>
  </w:style>
  <w:style w:type="paragraph" w:styleId="Lista">
    <w:name w:val="List"/>
    <w:basedOn w:val="Normal"/>
    <w:uiPriority w:val="99"/>
    <w:unhideWhenUsed/>
    <w:rsid w:val="00282E0F"/>
    <w:pPr>
      <w:ind w:left="283" w:hanging="283"/>
      <w:contextualSpacing/>
    </w:pPr>
  </w:style>
  <w:style w:type="paragraph" w:styleId="Cierre">
    <w:name w:val="Closing"/>
    <w:basedOn w:val="Normal"/>
    <w:link w:val="CierreCar"/>
    <w:uiPriority w:val="99"/>
    <w:unhideWhenUsed/>
    <w:rsid w:val="00282E0F"/>
    <w:pPr>
      <w:spacing w:after="0" w:line="240" w:lineRule="auto"/>
      <w:ind w:left="4252"/>
    </w:pPr>
  </w:style>
  <w:style w:type="character" w:customStyle="1" w:styleId="CierreCar">
    <w:name w:val="Cierre Car"/>
    <w:basedOn w:val="Fuentedeprrafopredeter"/>
    <w:link w:val="Cierre"/>
    <w:uiPriority w:val="99"/>
    <w:rsid w:val="00282E0F"/>
    <w:rPr>
      <w:rFonts w:eastAsiaTheme="minorEastAsia"/>
      <w:lang w:eastAsia="es-EC"/>
    </w:rPr>
  </w:style>
  <w:style w:type="paragraph" w:styleId="Firma">
    <w:name w:val="Signature"/>
    <w:basedOn w:val="Normal"/>
    <w:link w:val="FirmaCar"/>
    <w:uiPriority w:val="99"/>
    <w:unhideWhenUsed/>
    <w:rsid w:val="00282E0F"/>
    <w:pPr>
      <w:spacing w:after="0" w:line="240" w:lineRule="auto"/>
      <w:ind w:left="4252"/>
    </w:pPr>
  </w:style>
  <w:style w:type="character" w:customStyle="1" w:styleId="FirmaCar">
    <w:name w:val="Firma Car"/>
    <w:basedOn w:val="Fuentedeprrafopredeter"/>
    <w:link w:val="Firma"/>
    <w:uiPriority w:val="99"/>
    <w:rsid w:val="00282E0F"/>
    <w:rPr>
      <w:rFonts w:eastAsiaTheme="minorEastAsia"/>
      <w:lang w:eastAsia="es-EC"/>
    </w:rPr>
  </w:style>
  <w:style w:type="paragraph" w:styleId="Textoindependiente">
    <w:name w:val="Body Text"/>
    <w:basedOn w:val="Normal"/>
    <w:link w:val="TextoindependienteCar"/>
    <w:unhideWhenUsed/>
    <w:rsid w:val="00282E0F"/>
    <w:pPr>
      <w:spacing w:after="120"/>
    </w:pPr>
  </w:style>
  <w:style w:type="character" w:customStyle="1" w:styleId="TextoindependienteCar">
    <w:name w:val="Texto independiente Car"/>
    <w:basedOn w:val="Fuentedeprrafopredeter"/>
    <w:link w:val="Textoindependiente"/>
    <w:rsid w:val="00282E0F"/>
    <w:rPr>
      <w:rFonts w:eastAsiaTheme="minorEastAsia"/>
      <w:lang w:eastAsia="es-EC"/>
    </w:rPr>
  </w:style>
  <w:style w:type="paragraph" w:styleId="Textodeglobo">
    <w:name w:val="Balloon Text"/>
    <w:basedOn w:val="Normal"/>
    <w:link w:val="TextodegloboCar"/>
    <w:unhideWhenUsed/>
    <w:rsid w:val="005448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54485D"/>
    <w:rPr>
      <w:rFonts w:ascii="Tahoma" w:eastAsiaTheme="minorEastAsia" w:hAnsi="Tahoma" w:cs="Tahoma"/>
      <w:sz w:val="16"/>
      <w:szCs w:val="16"/>
      <w:lang w:eastAsia="es-EC"/>
    </w:rPr>
  </w:style>
  <w:style w:type="paragraph" w:styleId="Prrafodelista">
    <w:name w:val="List Paragraph"/>
    <w:basedOn w:val="Normal"/>
    <w:uiPriority w:val="34"/>
    <w:qFormat/>
    <w:rsid w:val="00EE580B"/>
    <w:pPr>
      <w:ind w:left="720"/>
      <w:contextualSpacing/>
    </w:pPr>
    <w:rPr>
      <w:rFonts w:eastAsiaTheme="minorHAnsi"/>
      <w:lang w:val="es-ES_tradnl" w:eastAsia="en-US"/>
    </w:rPr>
  </w:style>
  <w:style w:type="paragraph" w:customStyle="1" w:styleId="Default">
    <w:name w:val="Default"/>
    <w:rsid w:val="00922D24"/>
    <w:pPr>
      <w:autoSpaceDE w:val="0"/>
      <w:autoSpaceDN w:val="0"/>
      <w:adjustRightInd w:val="0"/>
      <w:spacing w:after="0" w:line="240" w:lineRule="auto"/>
    </w:pPr>
    <w:rPr>
      <w:rFonts w:ascii="Arial" w:hAnsi="Arial" w:cs="Arial"/>
      <w:color w:val="000000"/>
      <w:sz w:val="24"/>
      <w:szCs w:val="24"/>
      <w:lang w:val="en-CA"/>
    </w:rPr>
  </w:style>
  <w:style w:type="paragraph" w:styleId="Sangradetextonormal">
    <w:name w:val="Body Text Indent"/>
    <w:basedOn w:val="Normal"/>
    <w:link w:val="SangradetextonormalCar"/>
    <w:unhideWhenUsed/>
    <w:rsid w:val="00B21BA0"/>
    <w:pPr>
      <w:spacing w:after="120"/>
      <w:ind w:left="283"/>
    </w:pPr>
  </w:style>
  <w:style w:type="character" w:customStyle="1" w:styleId="SangradetextonormalCar">
    <w:name w:val="Sangría de texto normal Car"/>
    <w:basedOn w:val="Fuentedeprrafopredeter"/>
    <w:link w:val="Sangradetextonormal"/>
    <w:rsid w:val="00B21BA0"/>
    <w:rPr>
      <w:rFonts w:eastAsiaTheme="minorEastAsia"/>
      <w:lang w:eastAsia="es-EC"/>
    </w:rPr>
  </w:style>
  <w:style w:type="character" w:customStyle="1" w:styleId="Ttulo4Car">
    <w:name w:val="Título 4 Car"/>
    <w:basedOn w:val="Fuentedeprrafopredeter"/>
    <w:link w:val="Ttulo4"/>
    <w:uiPriority w:val="9"/>
    <w:rsid w:val="00B21BA0"/>
    <w:rPr>
      <w:rFonts w:ascii="Times New Roman" w:eastAsia="Times New Roman" w:hAnsi="Times New Roman" w:cs="Times New Roman"/>
      <w:b/>
      <w:bCs/>
      <w:sz w:val="24"/>
      <w:szCs w:val="24"/>
      <w:lang w:eastAsia="es-EC"/>
    </w:rPr>
  </w:style>
  <w:style w:type="paragraph" w:customStyle="1" w:styleId="Sangra2detindependiente1">
    <w:name w:val="Sangría 2 de t. independiente1"/>
    <w:basedOn w:val="Normal"/>
    <w:rsid w:val="00B21BA0"/>
    <w:pPr>
      <w:suppressAutoHyphens/>
      <w:spacing w:after="120" w:line="480" w:lineRule="auto"/>
      <w:ind w:left="283"/>
    </w:pPr>
    <w:rPr>
      <w:rFonts w:ascii="Calibri" w:eastAsia="Calibri" w:hAnsi="Calibri" w:cs="Calibri"/>
      <w:lang w:val="es-MX" w:eastAsia="ar-SA"/>
    </w:rPr>
  </w:style>
  <w:style w:type="paragraph" w:customStyle="1" w:styleId="Style7">
    <w:name w:val="Style 7"/>
    <w:basedOn w:val="Normal"/>
    <w:rsid w:val="00B21BA0"/>
    <w:pPr>
      <w:widowControl w:val="0"/>
      <w:autoSpaceDE w:val="0"/>
      <w:autoSpaceDN w:val="0"/>
      <w:spacing w:after="0" w:line="240" w:lineRule="auto"/>
      <w:ind w:right="72"/>
      <w:jc w:val="both"/>
    </w:pPr>
    <w:rPr>
      <w:rFonts w:ascii="Times New Roman" w:eastAsia="Times New Roman" w:hAnsi="Times New Roman" w:cs="Times New Roman"/>
      <w:sz w:val="24"/>
      <w:szCs w:val="24"/>
      <w:lang w:val="en-US" w:eastAsia="es-ES"/>
    </w:rPr>
  </w:style>
  <w:style w:type="character" w:styleId="Nmerodepgina">
    <w:name w:val="page number"/>
    <w:basedOn w:val="Fuentedeprrafopredeter"/>
    <w:rsid w:val="00B21B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62C"/>
    <w:rPr>
      <w:rFonts w:eastAsiaTheme="minorEastAsia"/>
      <w:lang w:eastAsia="es-EC"/>
    </w:rPr>
  </w:style>
  <w:style w:type="paragraph" w:styleId="Ttulo1">
    <w:name w:val="heading 1"/>
    <w:basedOn w:val="Normal"/>
    <w:next w:val="Normal"/>
    <w:link w:val="Ttulo1Car"/>
    <w:uiPriority w:val="9"/>
    <w:qFormat/>
    <w:rsid w:val="00282E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82E0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link w:val="Ttulo4Car"/>
    <w:uiPriority w:val="9"/>
    <w:qFormat/>
    <w:rsid w:val="00B21BA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B52A25"/>
  </w:style>
  <w:style w:type="paragraph" w:styleId="Piedepgina">
    <w:name w:val="footer"/>
    <w:basedOn w:val="Normal"/>
    <w:link w:val="Piedepgina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B52A25"/>
  </w:style>
  <w:style w:type="table" w:styleId="Tablaconcuadrcula">
    <w:name w:val="Table Grid"/>
    <w:basedOn w:val="Tablanormal"/>
    <w:uiPriority w:val="59"/>
    <w:rsid w:val="00C7462C"/>
    <w:pPr>
      <w:spacing w:after="0" w:line="240" w:lineRule="auto"/>
    </w:pPr>
    <w:rPr>
      <w:rFonts w:eastAsiaTheme="minorEastAsia"/>
      <w:lang w:eastAsia="es-EC"/>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uiPriority w:val="1"/>
    <w:qFormat/>
    <w:rsid w:val="0058594C"/>
    <w:pPr>
      <w:spacing w:after="0" w:line="240" w:lineRule="auto"/>
    </w:pPr>
  </w:style>
  <w:style w:type="character" w:customStyle="1" w:styleId="Ttulo1Car">
    <w:name w:val="Título 1 Car"/>
    <w:basedOn w:val="Fuentedeprrafopredeter"/>
    <w:link w:val="Ttulo1"/>
    <w:uiPriority w:val="9"/>
    <w:rsid w:val="00282E0F"/>
    <w:rPr>
      <w:rFonts w:asciiTheme="majorHAnsi" w:eastAsiaTheme="majorEastAsia" w:hAnsiTheme="majorHAnsi" w:cstheme="majorBidi"/>
      <w:b/>
      <w:bCs/>
      <w:color w:val="365F91" w:themeColor="accent1" w:themeShade="BF"/>
      <w:sz w:val="28"/>
      <w:szCs w:val="28"/>
      <w:lang w:eastAsia="es-EC"/>
    </w:rPr>
  </w:style>
  <w:style w:type="character" w:customStyle="1" w:styleId="Ttulo2Car">
    <w:name w:val="Título 2 Car"/>
    <w:basedOn w:val="Fuentedeprrafopredeter"/>
    <w:link w:val="Ttulo2"/>
    <w:uiPriority w:val="9"/>
    <w:rsid w:val="00282E0F"/>
    <w:rPr>
      <w:rFonts w:asciiTheme="majorHAnsi" w:eastAsiaTheme="majorEastAsia" w:hAnsiTheme="majorHAnsi" w:cstheme="majorBidi"/>
      <w:b/>
      <w:bCs/>
      <w:color w:val="4F81BD" w:themeColor="accent1"/>
      <w:sz w:val="26"/>
      <w:szCs w:val="26"/>
      <w:lang w:eastAsia="es-EC"/>
    </w:rPr>
  </w:style>
  <w:style w:type="paragraph" w:styleId="Lista">
    <w:name w:val="List"/>
    <w:basedOn w:val="Normal"/>
    <w:uiPriority w:val="99"/>
    <w:unhideWhenUsed/>
    <w:rsid w:val="00282E0F"/>
    <w:pPr>
      <w:ind w:left="283" w:hanging="283"/>
      <w:contextualSpacing/>
    </w:pPr>
  </w:style>
  <w:style w:type="paragraph" w:styleId="Cierre">
    <w:name w:val="Closing"/>
    <w:basedOn w:val="Normal"/>
    <w:link w:val="CierreCar"/>
    <w:uiPriority w:val="99"/>
    <w:unhideWhenUsed/>
    <w:rsid w:val="00282E0F"/>
    <w:pPr>
      <w:spacing w:after="0" w:line="240" w:lineRule="auto"/>
      <w:ind w:left="4252"/>
    </w:pPr>
  </w:style>
  <w:style w:type="character" w:customStyle="1" w:styleId="CierreCar">
    <w:name w:val="Cierre Car"/>
    <w:basedOn w:val="Fuentedeprrafopredeter"/>
    <w:link w:val="Cierre"/>
    <w:uiPriority w:val="99"/>
    <w:rsid w:val="00282E0F"/>
    <w:rPr>
      <w:rFonts w:eastAsiaTheme="minorEastAsia"/>
      <w:lang w:eastAsia="es-EC"/>
    </w:rPr>
  </w:style>
  <w:style w:type="paragraph" w:styleId="Firma">
    <w:name w:val="Signature"/>
    <w:basedOn w:val="Normal"/>
    <w:link w:val="FirmaCar"/>
    <w:uiPriority w:val="99"/>
    <w:unhideWhenUsed/>
    <w:rsid w:val="00282E0F"/>
    <w:pPr>
      <w:spacing w:after="0" w:line="240" w:lineRule="auto"/>
      <w:ind w:left="4252"/>
    </w:pPr>
  </w:style>
  <w:style w:type="character" w:customStyle="1" w:styleId="FirmaCar">
    <w:name w:val="Firma Car"/>
    <w:basedOn w:val="Fuentedeprrafopredeter"/>
    <w:link w:val="Firma"/>
    <w:uiPriority w:val="99"/>
    <w:rsid w:val="00282E0F"/>
    <w:rPr>
      <w:rFonts w:eastAsiaTheme="minorEastAsia"/>
      <w:lang w:eastAsia="es-EC"/>
    </w:rPr>
  </w:style>
  <w:style w:type="paragraph" w:styleId="Textoindependiente">
    <w:name w:val="Body Text"/>
    <w:basedOn w:val="Normal"/>
    <w:link w:val="TextoindependienteCar"/>
    <w:unhideWhenUsed/>
    <w:rsid w:val="00282E0F"/>
    <w:pPr>
      <w:spacing w:after="120"/>
    </w:pPr>
  </w:style>
  <w:style w:type="character" w:customStyle="1" w:styleId="TextoindependienteCar">
    <w:name w:val="Texto independiente Car"/>
    <w:basedOn w:val="Fuentedeprrafopredeter"/>
    <w:link w:val="Textoindependiente"/>
    <w:rsid w:val="00282E0F"/>
    <w:rPr>
      <w:rFonts w:eastAsiaTheme="minorEastAsia"/>
      <w:lang w:eastAsia="es-EC"/>
    </w:rPr>
  </w:style>
  <w:style w:type="paragraph" w:styleId="Textodeglobo">
    <w:name w:val="Balloon Text"/>
    <w:basedOn w:val="Normal"/>
    <w:link w:val="TextodegloboCar"/>
    <w:unhideWhenUsed/>
    <w:rsid w:val="005448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54485D"/>
    <w:rPr>
      <w:rFonts w:ascii="Tahoma" w:eastAsiaTheme="minorEastAsia" w:hAnsi="Tahoma" w:cs="Tahoma"/>
      <w:sz w:val="16"/>
      <w:szCs w:val="16"/>
      <w:lang w:eastAsia="es-EC"/>
    </w:rPr>
  </w:style>
  <w:style w:type="paragraph" w:styleId="Prrafodelista">
    <w:name w:val="List Paragraph"/>
    <w:basedOn w:val="Normal"/>
    <w:uiPriority w:val="34"/>
    <w:qFormat/>
    <w:rsid w:val="00EE580B"/>
    <w:pPr>
      <w:ind w:left="720"/>
      <w:contextualSpacing/>
    </w:pPr>
    <w:rPr>
      <w:rFonts w:eastAsiaTheme="minorHAnsi"/>
      <w:lang w:val="es-ES_tradnl" w:eastAsia="en-US"/>
    </w:rPr>
  </w:style>
  <w:style w:type="paragraph" w:customStyle="1" w:styleId="Default">
    <w:name w:val="Default"/>
    <w:rsid w:val="00922D24"/>
    <w:pPr>
      <w:autoSpaceDE w:val="0"/>
      <w:autoSpaceDN w:val="0"/>
      <w:adjustRightInd w:val="0"/>
      <w:spacing w:after="0" w:line="240" w:lineRule="auto"/>
    </w:pPr>
    <w:rPr>
      <w:rFonts w:ascii="Arial" w:hAnsi="Arial" w:cs="Arial"/>
      <w:color w:val="000000"/>
      <w:sz w:val="24"/>
      <w:szCs w:val="24"/>
      <w:lang w:val="en-CA"/>
    </w:rPr>
  </w:style>
  <w:style w:type="paragraph" w:styleId="Sangradetextonormal">
    <w:name w:val="Body Text Indent"/>
    <w:basedOn w:val="Normal"/>
    <w:link w:val="SangradetextonormalCar"/>
    <w:unhideWhenUsed/>
    <w:rsid w:val="00B21BA0"/>
    <w:pPr>
      <w:spacing w:after="120"/>
      <w:ind w:left="283"/>
    </w:pPr>
  </w:style>
  <w:style w:type="character" w:customStyle="1" w:styleId="SangradetextonormalCar">
    <w:name w:val="Sangría de texto normal Car"/>
    <w:basedOn w:val="Fuentedeprrafopredeter"/>
    <w:link w:val="Sangradetextonormal"/>
    <w:rsid w:val="00B21BA0"/>
    <w:rPr>
      <w:rFonts w:eastAsiaTheme="minorEastAsia"/>
      <w:lang w:eastAsia="es-EC"/>
    </w:rPr>
  </w:style>
  <w:style w:type="character" w:customStyle="1" w:styleId="Ttulo4Car">
    <w:name w:val="Título 4 Car"/>
    <w:basedOn w:val="Fuentedeprrafopredeter"/>
    <w:link w:val="Ttulo4"/>
    <w:uiPriority w:val="9"/>
    <w:rsid w:val="00B21BA0"/>
    <w:rPr>
      <w:rFonts w:ascii="Times New Roman" w:eastAsia="Times New Roman" w:hAnsi="Times New Roman" w:cs="Times New Roman"/>
      <w:b/>
      <w:bCs/>
      <w:sz w:val="24"/>
      <w:szCs w:val="24"/>
      <w:lang w:eastAsia="es-EC"/>
    </w:rPr>
  </w:style>
  <w:style w:type="paragraph" w:customStyle="1" w:styleId="Sangra2detindependiente1">
    <w:name w:val="Sangría 2 de t. independiente1"/>
    <w:basedOn w:val="Normal"/>
    <w:rsid w:val="00B21BA0"/>
    <w:pPr>
      <w:suppressAutoHyphens/>
      <w:spacing w:after="120" w:line="480" w:lineRule="auto"/>
      <w:ind w:left="283"/>
    </w:pPr>
    <w:rPr>
      <w:rFonts w:ascii="Calibri" w:eastAsia="Calibri" w:hAnsi="Calibri" w:cs="Calibri"/>
      <w:lang w:val="es-MX" w:eastAsia="ar-SA"/>
    </w:rPr>
  </w:style>
  <w:style w:type="paragraph" w:customStyle="1" w:styleId="Style7">
    <w:name w:val="Style 7"/>
    <w:basedOn w:val="Normal"/>
    <w:rsid w:val="00B21BA0"/>
    <w:pPr>
      <w:widowControl w:val="0"/>
      <w:autoSpaceDE w:val="0"/>
      <w:autoSpaceDN w:val="0"/>
      <w:spacing w:after="0" w:line="240" w:lineRule="auto"/>
      <w:ind w:right="72"/>
      <w:jc w:val="both"/>
    </w:pPr>
    <w:rPr>
      <w:rFonts w:ascii="Times New Roman" w:eastAsia="Times New Roman" w:hAnsi="Times New Roman" w:cs="Times New Roman"/>
      <w:sz w:val="24"/>
      <w:szCs w:val="24"/>
      <w:lang w:val="en-US" w:eastAsia="es-ES"/>
    </w:rPr>
  </w:style>
  <w:style w:type="character" w:styleId="Nmerodepgina">
    <w:name w:val="page number"/>
    <w:basedOn w:val="Fuentedeprrafopredeter"/>
    <w:rsid w:val="00B21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822699">
      <w:bodyDiv w:val="1"/>
      <w:marLeft w:val="0"/>
      <w:marRight w:val="0"/>
      <w:marTop w:val="0"/>
      <w:marBottom w:val="0"/>
      <w:divBdr>
        <w:top w:val="none" w:sz="0" w:space="0" w:color="auto"/>
        <w:left w:val="none" w:sz="0" w:space="0" w:color="auto"/>
        <w:bottom w:val="none" w:sz="0" w:space="0" w:color="auto"/>
        <w:right w:val="none" w:sz="0" w:space="0" w:color="auto"/>
      </w:divBdr>
    </w:div>
    <w:div w:id="1260017947">
      <w:bodyDiv w:val="1"/>
      <w:marLeft w:val="0"/>
      <w:marRight w:val="0"/>
      <w:marTop w:val="0"/>
      <w:marBottom w:val="0"/>
      <w:divBdr>
        <w:top w:val="none" w:sz="0" w:space="0" w:color="auto"/>
        <w:left w:val="none" w:sz="0" w:space="0" w:color="auto"/>
        <w:bottom w:val="none" w:sz="0" w:space="0" w:color="auto"/>
        <w:right w:val="none" w:sz="0" w:space="0" w:color="auto"/>
      </w:divBdr>
      <w:divsChild>
        <w:div w:id="2013218101">
          <w:marLeft w:val="0"/>
          <w:marRight w:val="0"/>
          <w:marTop w:val="0"/>
          <w:marBottom w:val="0"/>
          <w:divBdr>
            <w:top w:val="none" w:sz="0" w:space="0" w:color="auto"/>
            <w:left w:val="none" w:sz="0" w:space="0" w:color="auto"/>
            <w:bottom w:val="none" w:sz="0" w:space="0" w:color="auto"/>
            <w:right w:val="none" w:sz="0" w:space="0" w:color="auto"/>
          </w:divBdr>
        </w:div>
        <w:div w:id="727849895">
          <w:marLeft w:val="0"/>
          <w:marRight w:val="0"/>
          <w:marTop w:val="0"/>
          <w:marBottom w:val="0"/>
          <w:divBdr>
            <w:top w:val="none" w:sz="0" w:space="0" w:color="auto"/>
            <w:left w:val="none" w:sz="0" w:space="0" w:color="auto"/>
            <w:bottom w:val="none" w:sz="0" w:space="0" w:color="auto"/>
            <w:right w:val="none" w:sz="0" w:space="0" w:color="auto"/>
          </w:divBdr>
        </w:div>
        <w:div w:id="1972248149">
          <w:marLeft w:val="0"/>
          <w:marRight w:val="0"/>
          <w:marTop w:val="0"/>
          <w:marBottom w:val="0"/>
          <w:divBdr>
            <w:top w:val="none" w:sz="0" w:space="0" w:color="auto"/>
            <w:left w:val="none" w:sz="0" w:space="0" w:color="auto"/>
            <w:bottom w:val="none" w:sz="0" w:space="0" w:color="auto"/>
            <w:right w:val="none" w:sz="0" w:space="0" w:color="auto"/>
          </w:divBdr>
        </w:div>
        <w:div w:id="1161195024">
          <w:marLeft w:val="0"/>
          <w:marRight w:val="0"/>
          <w:marTop w:val="0"/>
          <w:marBottom w:val="0"/>
          <w:divBdr>
            <w:top w:val="none" w:sz="0" w:space="0" w:color="auto"/>
            <w:left w:val="none" w:sz="0" w:space="0" w:color="auto"/>
            <w:bottom w:val="none" w:sz="0" w:space="0" w:color="auto"/>
            <w:right w:val="none" w:sz="0" w:space="0" w:color="auto"/>
          </w:divBdr>
        </w:div>
        <w:div w:id="1962108564">
          <w:marLeft w:val="0"/>
          <w:marRight w:val="0"/>
          <w:marTop w:val="0"/>
          <w:marBottom w:val="0"/>
          <w:divBdr>
            <w:top w:val="none" w:sz="0" w:space="0" w:color="auto"/>
            <w:left w:val="none" w:sz="0" w:space="0" w:color="auto"/>
            <w:bottom w:val="none" w:sz="0" w:space="0" w:color="auto"/>
            <w:right w:val="none" w:sz="0" w:space="0" w:color="auto"/>
          </w:divBdr>
        </w:div>
        <w:div w:id="1356882867">
          <w:marLeft w:val="0"/>
          <w:marRight w:val="0"/>
          <w:marTop w:val="0"/>
          <w:marBottom w:val="0"/>
          <w:divBdr>
            <w:top w:val="none" w:sz="0" w:space="0" w:color="auto"/>
            <w:left w:val="none" w:sz="0" w:space="0" w:color="auto"/>
            <w:bottom w:val="none" w:sz="0" w:space="0" w:color="auto"/>
            <w:right w:val="none" w:sz="0" w:space="0" w:color="auto"/>
          </w:divBdr>
        </w:div>
        <w:div w:id="1911192656">
          <w:marLeft w:val="0"/>
          <w:marRight w:val="0"/>
          <w:marTop w:val="0"/>
          <w:marBottom w:val="0"/>
          <w:divBdr>
            <w:top w:val="none" w:sz="0" w:space="0" w:color="auto"/>
            <w:left w:val="none" w:sz="0" w:space="0" w:color="auto"/>
            <w:bottom w:val="none" w:sz="0" w:space="0" w:color="auto"/>
            <w:right w:val="none" w:sz="0" w:space="0" w:color="auto"/>
          </w:divBdr>
        </w:div>
      </w:divsChild>
    </w:div>
    <w:div w:id="1696081413">
      <w:bodyDiv w:val="1"/>
      <w:marLeft w:val="0"/>
      <w:marRight w:val="0"/>
      <w:marTop w:val="0"/>
      <w:marBottom w:val="0"/>
      <w:divBdr>
        <w:top w:val="none" w:sz="0" w:space="0" w:color="auto"/>
        <w:left w:val="none" w:sz="0" w:space="0" w:color="auto"/>
        <w:bottom w:val="none" w:sz="0" w:space="0" w:color="auto"/>
        <w:right w:val="none" w:sz="0" w:space="0" w:color="auto"/>
      </w:divBdr>
    </w:div>
    <w:div w:id="1845971184">
      <w:bodyDiv w:val="1"/>
      <w:marLeft w:val="0"/>
      <w:marRight w:val="0"/>
      <w:marTop w:val="0"/>
      <w:marBottom w:val="0"/>
      <w:divBdr>
        <w:top w:val="none" w:sz="0" w:space="0" w:color="auto"/>
        <w:left w:val="none" w:sz="0" w:space="0" w:color="auto"/>
        <w:bottom w:val="none" w:sz="0" w:space="0" w:color="auto"/>
        <w:right w:val="none" w:sz="0" w:space="0" w:color="auto"/>
      </w:divBdr>
    </w:div>
    <w:div w:id="206197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BD936-D566-4697-A520-EC9F84F94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97</Pages>
  <Words>22323</Words>
  <Characters>122777</Characters>
  <Application>Microsoft Office Word</Application>
  <DocSecurity>0</DocSecurity>
  <Lines>1023</Lines>
  <Paragraphs>289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ALCALDIASEC</dc:creator>
  <cp:lastModifiedBy>Miguel Leon</cp:lastModifiedBy>
  <cp:revision>23</cp:revision>
  <cp:lastPrinted>2017-12-27T20:51:00Z</cp:lastPrinted>
  <dcterms:created xsi:type="dcterms:W3CDTF">2017-12-29T20:49:00Z</dcterms:created>
  <dcterms:modified xsi:type="dcterms:W3CDTF">2017-12-29T21:42:00Z</dcterms:modified>
</cp:coreProperties>
</file>